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70" w:lineRule="exact"/>
        <w:ind w:firstLine="0" w:firstLineChars="0"/>
        <w:jc w:val="both"/>
        <w:rPr>
          <w:rFonts w:eastAsia="方正小标宋简体" w:cs="Times New Roman"/>
          <w:sz w:val="44"/>
          <w:szCs w:val="40"/>
        </w:rPr>
      </w:pPr>
    </w:p>
    <w:p>
      <w:pPr>
        <w:adjustRightInd w:val="0"/>
        <w:snapToGrid w:val="0"/>
        <w:spacing w:line="570" w:lineRule="exact"/>
        <w:ind w:firstLine="0" w:firstLineChars="0"/>
        <w:jc w:val="both"/>
        <w:rPr>
          <w:rFonts w:eastAsia="方正小标宋简体" w:cs="Times New Roman"/>
          <w:sz w:val="44"/>
          <w:szCs w:val="40"/>
        </w:rPr>
      </w:pPr>
    </w:p>
    <w:p>
      <w:pPr>
        <w:adjustRightInd w:val="0"/>
        <w:snapToGrid w:val="0"/>
        <w:spacing w:line="570" w:lineRule="exact"/>
        <w:ind w:firstLine="0" w:firstLineChars="0"/>
        <w:jc w:val="both"/>
        <w:rPr>
          <w:rFonts w:eastAsia="方正小标宋简体" w:cs="Times New Roman"/>
          <w:sz w:val="44"/>
          <w:szCs w:val="40"/>
        </w:rPr>
      </w:pPr>
    </w:p>
    <w:p>
      <w:pPr>
        <w:pStyle w:val="2"/>
      </w:pPr>
    </w:p>
    <w:p>
      <w:pPr>
        <w:adjustRightInd w:val="0"/>
        <w:snapToGrid w:val="0"/>
        <w:spacing w:line="570" w:lineRule="exact"/>
        <w:ind w:firstLine="0" w:firstLineChars="0"/>
        <w:jc w:val="center"/>
        <w:rPr>
          <w:rFonts w:eastAsia="方正小标宋简体" w:cs="Times New Roman"/>
          <w:sz w:val="44"/>
          <w:szCs w:val="40"/>
        </w:rPr>
      </w:pPr>
    </w:p>
    <w:p>
      <w:pPr>
        <w:adjustRightInd w:val="0"/>
        <w:snapToGrid w:val="0"/>
        <w:spacing w:line="570" w:lineRule="exact"/>
        <w:ind w:firstLine="0" w:firstLineChars="0"/>
        <w:jc w:val="center"/>
        <w:rPr>
          <w:rFonts w:eastAsia="方正小标宋简体" w:cs="Times New Roman"/>
          <w:sz w:val="44"/>
          <w:szCs w:val="40"/>
        </w:rPr>
      </w:pPr>
      <w:r>
        <w:rPr>
          <w:rFonts w:eastAsia="方正小标宋简体" w:cs="Times New Roman"/>
          <w:sz w:val="44"/>
          <w:szCs w:val="40"/>
        </w:rPr>
        <w:t>阳江市阳东区生态环境保护</w:t>
      </w:r>
      <w:r>
        <w:rPr>
          <w:rFonts w:hint="eastAsia" w:ascii="方正小标宋简体" w:eastAsia="方正小标宋简体" w:cs="Times New Roman"/>
          <w:sz w:val="44"/>
          <w:szCs w:val="40"/>
        </w:rPr>
        <w:t>“十四五”</w:t>
      </w:r>
      <w:r>
        <w:rPr>
          <w:rFonts w:eastAsia="方正小标宋简体" w:cs="Times New Roman"/>
          <w:sz w:val="44"/>
          <w:szCs w:val="40"/>
        </w:rPr>
        <w:t>规划</w:t>
      </w:r>
    </w:p>
    <w:p>
      <w:pPr>
        <w:ind w:firstLine="640"/>
        <w:rPr>
          <w:rFonts w:cs="Times New Roman"/>
        </w:rPr>
      </w:pPr>
    </w:p>
    <w:p>
      <w:pPr>
        <w:ind w:firstLine="640"/>
        <w:rPr>
          <w:rFonts w:cs="Times New Roman"/>
        </w:rPr>
      </w:pPr>
    </w:p>
    <w:p>
      <w:pPr>
        <w:ind w:firstLine="640"/>
        <w:rPr>
          <w:rFonts w:cs="Times New Roman"/>
        </w:rPr>
      </w:pPr>
    </w:p>
    <w:p>
      <w:pPr>
        <w:ind w:firstLine="640"/>
        <w:rPr>
          <w:rFonts w:cs="Times New Roman"/>
        </w:rPr>
      </w:pPr>
    </w:p>
    <w:p>
      <w:pPr>
        <w:ind w:firstLine="640"/>
        <w:rPr>
          <w:rFonts w:cs="Times New Roman"/>
        </w:rPr>
      </w:pPr>
    </w:p>
    <w:p>
      <w:pPr>
        <w:ind w:firstLine="640"/>
        <w:rPr>
          <w:rFonts w:cs="Times New Roman"/>
        </w:rPr>
      </w:pPr>
    </w:p>
    <w:p>
      <w:pPr>
        <w:ind w:firstLine="640"/>
        <w:rPr>
          <w:rFonts w:cs="Times New Roman"/>
        </w:rPr>
      </w:pPr>
    </w:p>
    <w:p>
      <w:pPr>
        <w:ind w:firstLine="640"/>
        <w:rPr>
          <w:rFonts w:cs="Times New Roman"/>
        </w:rPr>
      </w:pPr>
    </w:p>
    <w:p>
      <w:pPr>
        <w:ind w:firstLine="640"/>
        <w:rPr>
          <w:rFonts w:cs="Times New Roman"/>
        </w:rPr>
      </w:pPr>
    </w:p>
    <w:p>
      <w:pPr>
        <w:ind w:firstLine="640"/>
        <w:rPr>
          <w:rFonts w:cs="Times New Roman"/>
        </w:rPr>
      </w:pPr>
    </w:p>
    <w:p>
      <w:pPr>
        <w:pStyle w:val="2"/>
        <w:ind w:firstLine="480"/>
        <w:rPr>
          <w:rFonts w:cs="Times New Roman"/>
        </w:rPr>
      </w:pPr>
    </w:p>
    <w:p>
      <w:pPr>
        <w:pStyle w:val="2"/>
        <w:ind w:firstLine="480"/>
        <w:rPr>
          <w:rFonts w:cs="Times New Roman"/>
        </w:rPr>
      </w:pPr>
    </w:p>
    <w:p>
      <w:pPr>
        <w:pStyle w:val="2"/>
        <w:ind w:firstLine="480"/>
        <w:rPr>
          <w:rFonts w:cs="Times New Roman"/>
        </w:rPr>
      </w:pPr>
    </w:p>
    <w:p>
      <w:pPr>
        <w:pStyle w:val="2"/>
        <w:ind w:firstLine="480"/>
        <w:rPr>
          <w:rFonts w:cs="Times New Roman"/>
        </w:rPr>
      </w:pPr>
    </w:p>
    <w:p>
      <w:pPr>
        <w:pStyle w:val="2"/>
        <w:ind w:firstLine="480"/>
        <w:rPr>
          <w:rFonts w:cs="Times New Roman"/>
        </w:rPr>
      </w:pPr>
    </w:p>
    <w:p>
      <w:pPr>
        <w:pStyle w:val="2"/>
        <w:ind w:firstLine="480"/>
        <w:rPr>
          <w:rFonts w:cs="Times New Roman"/>
        </w:rPr>
      </w:pPr>
    </w:p>
    <w:p>
      <w:pPr>
        <w:pStyle w:val="2"/>
        <w:ind w:firstLine="480"/>
        <w:rPr>
          <w:rFonts w:cs="Times New Roman"/>
        </w:rPr>
      </w:pPr>
    </w:p>
    <w:p>
      <w:pPr>
        <w:pStyle w:val="2"/>
        <w:ind w:firstLine="480"/>
        <w:rPr>
          <w:rFonts w:cs="Times New Roman"/>
        </w:rPr>
      </w:pPr>
    </w:p>
    <w:p>
      <w:pPr>
        <w:pStyle w:val="2"/>
        <w:ind w:firstLine="480"/>
        <w:rPr>
          <w:rFonts w:cs="Times New Roman"/>
        </w:rPr>
      </w:pPr>
    </w:p>
    <w:p>
      <w:pPr>
        <w:pStyle w:val="2"/>
        <w:ind w:firstLine="480"/>
        <w:rPr>
          <w:rFonts w:cs="Times New Roman"/>
        </w:rPr>
      </w:pPr>
    </w:p>
    <w:p>
      <w:pPr>
        <w:pStyle w:val="2"/>
        <w:ind w:firstLine="480"/>
        <w:rPr>
          <w:rFonts w:cs="Times New Roman"/>
        </w:rPr>
      </w:pPr>
    </w:p>
    <w:p>
      <w:pPr>
        <w:pStyle w:val="2"/>
        <w:ind w:firstLine="480"/>
        <w:rPr>
          <w:rFonts w:cs="Times New Roman"/>
        </w:rPr>
      </w:pPr>
    </w:p>
    <w:p>
      <w:pPr>
        <w:pStyle w:val="2"/>
        <w:ind w:firstLine="480"/>
        <w:rPr>
          <w:rFonts w:cs="Times New Roman"/>
        </w:rPr>
      </w:pPr>
    </w:p>
    <w:p>
      <w:pPr>
        <w:pStyle w:val="2"/>
        <w:ind w:firstLine="480"/>
        <w:rPr>
          <w:rFonts w:cs="Times New Roman"/>
        </w:rPr>
      </w:pPr>
    </w:p>
    <w:p>
      <w:pPr>
        <w:pStyle w:val="2"/>
        <w:ind w:firstLine="480"/>
        <w:rPr>
          <w:rFonts w:cs="Times New Roman"/>
        </w:rPr>
      </w:pPr>
    </w:p>
    <w:p>
      <w:pPr>
        <w:pStyle w:val="2"/>
        <w:ind w:firstLine="0" w:firstLineChars="0"/>
        <w:rPr>
          <w:rFonts w:cs="Times New Roman"/>
        </w:rPr>
      </w:pPr>
    </w:p>
    <w:p>
      <w:pPr>
        <w:pStyle w:val="2"/>
        <w:ind w:firstLine="480"/>
        <w:rPr>
          <w:rFonts w:cs="Times New Roman"/>
        </w:rPr>
      </w:pPr>
    </w:p>
    <w:p>
      <w:pPr>
        <w:pStyle w:val="2"/>
        <w:ind w:firstLine="480"/>
        <w:rPr>
          <w:rFonts w:cs="Times New Roman"/>
        </w:rPr>
      </w:pPr>
    </w:p>
    <w:sdt>
      <w:sdtPr>
        <w:rPr>
          <w:rFonts w:ascii="Times New Roman" w:hAnsi="Times New Roman" w:eastAsia="仿宋_GB2312" w:cstheme="minorBidi"/>
          <w:b w:val="0"/>
          <w:bCs w:val="0"/>
          <w:color w:val="auto"/>
          <w:kern w:val="2"/>
          <w:sz w:val="32"/>
          <w:szCs w:val="24"/>
          <w:lang w:val="zh-CN"/>
        </w:rPr>
        <w:id w:val="12035184"/>
        <w:docPartObj>
          <w:docPartGallery w:val="Table of Contents"/>
          <w:docPartUnique/>
        </w:docPartObj>
      </w:sdtPr>
      <w:sdtEndPr>
        <w:rPr>
          <w:rFonts w:ascii="Times New Roman" w:hAnsi="Times New Roman" w:eastAsia="仿宋_GB2312" w:cstheme="minorBidi"/>
          <w:b w:val="0"/>
          <w:bCs w:val="0"/>
          <w:color w:val="auto"/>
          <w:kern w:val="2"/>
          <w:sz w:val="32"/>
          <w:szCs w:val="24"/>
          <w:lang w:val="zh-CN"/>
        </w:rPr>
      </w:sdtEndPr>
      <w:sdtContent>
        <w:p>
          <w:pPr>
            <w:pStyle w:val="35"/>
            <w:keepNext w:val="0"/>
            <w:keepLines w:val="0"/>
            <w:widowControl w:val="0"/>
            <w:adjustRightInd w:val="0"/>
            <w:snapToGrid w:val="0"/>
            <w:spacing w:before="0" w:line="570" w:lineRule="exact"/>
            <w:jc w:val="center"/>
            <w:rPr>
              <w:rFonts w:ascii="Times New Roman" w:hAnsi="Times New Roman" w:eastAsia="方正小标宋简体"/>
              <w:b w:val="0"/>
              <w:color w:val="auto"/>
              <w:sz w:val="44"/>
            </w:rPr>
          </w:pPr>
          <w:r>
            <w:rPr>
              <w:rFonts w:ascii="Times New Roman" w:hAnsi="Times New Roman" w:eastAsia="方正小标宋简体"/>
              <w:b w:val="0"/>
              <w:color w:val="auto"/>
              <w:sz w:val="44"/>
              <w:lang w:val="zh-CN"/>
            </w:rPr>
            <w:t>目录</w:t>
          </w:r>
        </w:p>
        <w:p>
          <w:pPr>
            <w:pStyle w:val="13"/>
            <w:tabs>
              <w:tab w:val="right" w:leader="dot" w:pos="8834"/>
            </w:tabs>
            <w:spacing w:line="540" w:lineRule="exact"/>
            <w:ind w:firstLine="640"/>
            <w:rPr>
              <w:rFonts w:asciiTheme="minorHAnsi" w:hAnsiTheme="minorHAnsi" w:eastAsiaTheme="minorEastAsia"/>
              <w:sz w:val="21"/>
              <w:szCs w:val="22"/>
            </w:rPr>
          </w:pPr>
          <w:r>
            <w:fldChar w:fldCharType="begin"/>
          </w:r>
          <w:r>
            <w:instrText xml:space="preserve"> TOC \o "1-3" \h \z \u </w:instrText>
          </w:r>
          <w:r>
            <w:fldChar w:fldCharType="separate"/>
          </w:r>
          <w:r>
            <w:fldChar w:fldCharType="begin"/>
          </w:r>
          <w:r>
            <w:instrText xml:space="preserve"> HYPERLINK \l "_Toc157760699" </w:instrText>
          </w:r>
          <w:r>
            <w:fldChar w:fldCharType="separate"/>
          </w:r>
          <w:r>
            <w:rPr>
              <w:rStyle w:val="23"/>
              <w:rFonts w:hint="eastAsia" w:ascii="黑体" w:hAnsi="黑体" w:eastAsia="黑体" w:cs="Times New Roman"/>
            </w:rPr>
            <w:t>第一章 背景与形势</w:t>
          </w:r>
          <w:r>
            <w:tab/>
          </w:r>
          <w:r>
            <w:fldChar w:fldCharType="begin"/>
          </w:r>
          <w:r>
            <w:instrText xml:space="preserve"> PAGEREF _Toc157760699 \h </w:instrText>
          </w:r>
          <w:r>
            <w:fldChar w:fldCharType="separate"/>
          </w:r>
          <w:r>
            <w:t>1</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"_Toc157760700" </w:instrText>
          </w:r>
          <w:r>
            <w:fldChar w:fldCharType="separate"/>
          </w:r>
          <w:r>
            <w:rPr>
              <w:rStyle w:val="23"/>
              <w:rFonts w:hint="eastAsia" w:ascii="方正楷体简体" w:hAnsi="黑体" w:eastAsia="方正楷体简体" w:cs="Times New Roman"/>
            </w:rPr>
            <w:t>第一节 “十三五”生态环境保护工作取得明显成效</w:t>
          </w:r>
          <w:r>
            <w:tab/>
          </w:r>
          <w:r>
            <w:fldChar w:fldCharType="begin"/>
          </w:r>
          <w:r>
            <w:instrText xml:space="preserve"> PAGEREF _Toc157760700 \h </w:instrText>
          </w:r>
          <w:r>
            <w:fldChar w:fldCharType="separate"/>
          </w:r>
          <w:r>
            <w:t>2</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"_Toc157760701" </w:instrText>
          </w:r>
          <w:r>
            <w:fldChar w:fldCharType="separate"/>
          </w:r>
          <w:r>
            <w:rPr>
              <w:rStyle w:val="23"/>
              <w:rFonts w:hint="eastAsia" w:ascii="方正楷体简体" w:hAnsi="黑体" w:eastAsia="方正楷体简体" w:cs="Times New Roman"/>
            </w:rPr>
            <w:t>第二节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生态环境保护仍面临短板和压力</w:t>
          </w:r>
          <w:r>
            <w:tab/>
          </w:r>
          <w:r>
            <w:fldChar w:fldCharType="begin"/>
          </w:r>
          <w:r>
            <w:instrText xml:space="preserve"> PAGEREF _Toc157760701 \h </w:instrText>
          </w:r>
          <w:r>
            <w:fldChar w:fldCharType="separate"/>
          </w:r>
          <w:r>
            <w:t>7</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"_Toc157760702" </w:instrText>
          </w:r>
          <w:r>
            <w:fldChar w:fldCharType="separate"/>
          </w:r>
          <w:r>
            <w:rPr>
              <w:rStyle w:val="23"/>
              <w:rFonts w:hint="eastAsia" w:ascii="方正楷体简体" w:hAnsi="黑体" w:eastAsia="方正楷体简体" w:cs="Times New Roman"/>
            </w:rPr>
            <w:t>第三节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“十四五”生态环境保护面临重要机遇</w:t>
          </w:r>
          <w:r>
            <w:tab/>
          </w:r>
          <w:r>
            <w:fldChar w:fldCharType="begin"/>
          </w:r>
          <w:r>
            <w:instrText xml:space="preserve"> PAGEREF _Toc157760702 \h </w:instrText>
          </w:r>
          <w:r>
            <w:fldChar w:fldCharType="separate"/>
          </w:r>
          <w:r>
            <w:t>8</w:t>
          </w:r>
          <w:r>
            <w:fldChar w:fldCharType="end"/>
          </w:r>
          <w:r>
            <w:fldChar w:fldCharType="end"/>
          </w:r>
        </w:p>
        <w:p>
          <w:pPr>
            <w:pStyle w:val="13"/>
            <w:tabs>
              <w:tab w:val="right" w:leader="dot" w:pos="8834"/>
            </w:tabs>
            <w:spacing w:line="540" w:lineRule="exact"/>
            <w:ind w:firstLine="640"/>
            <w:rPr>
              <w:rFonts w:asciiTheme="minorHAnsi" w:hAnsiTheme="minorHAnsi" w:eastAsiaTheme="minorEastAsia"/>
              <w:sz w:val="21"/>
              <w:szCs w:val="22"/>
            </w:rPr>
          </w:pPr>
          <w:r>
            <w:fldChar w:fldCharType="begin"/>
          </w:r>
          <w:r>
            <w:instrText xml:space="preserve"> HYPERLINK \l "_Toc157760703" </w:instrText>
          </w:r>
          <w:r>
            <w:fldChar w:fldCharType="separate"/>
          </w:r>
          <w:r>
            <w:rPr>
              <w:rStyle w:val="23"/>
              <w:rFonts w:hint="eastAsia" w:ascii="黑体" w:hAnsi="黑体" w:eastAsia="黑体" w:cs="Times New Roman"/>
            </w:rPr>
            <w:t>第二章 总体要求</w:t>
          </w:r>
          <w:r>
            <w:tab/>
          </w:r>
          <w:r>
            <w:fldChar w:fldCharType="begin"/>
          </w:r>
          <w:r>
            <w:instrText xml:space="preserve"> PAGEREF _Toc157760703 \h </w:instrText>
          </w:r>
          <w:r>
            <w:fldChar w:fldCharType="separate"/>
          </w:r>
          <w:r>
            <w:t>10</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"_Toc157760704" </w:instrText>
          </w:r>
          <w:r>
            <w:fldChar w:fldCharType="separate"/>
          </w:r>
          <w:r>
            <w:rPr>
              <w:rStyle w:val="23"/>
              <w:rFonts w:hint="eastAsia" w:ascii="方正楷体简体" w:hAnsi="黑体" w:eastAsia="方正楷体简体" w:cs="Times New Roman"/>
            </w:rPr>
            <w:t>第一节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指导思想</w:t>
          </w:r>
          <w:r>
            <w:tab/>
          </w:r>
          <w:r>
            <w:fldChar w:fldCharType="begin"/>
          </w:r>
          <w:r>
            <w:instrText xml:space="preserve"> PAGEREF _Toc157760704 \h </w:instrText>
          </w:r>
          <w:r>
            <w:fldChar w:fldCharType="separate"/>
          </w:r>
          <w:r>
            <w:t>10</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"_Toc157760705" </w:instrText>
          </w:r>
          <w:r>
            <w:fldChar w:fldCharType="separate"/>
          </w:r>
          <w:r>
            <w:rPr>
              <w:rStyle w:val="23"/>
              <w:rFonts w:hint="eastAsia" w:ascii="方正楷体简体" w:hAnsi="黑体" w:eastAsia="方正楷体简体" w:cs="Times New Roman"/>
            </w:rPr>
            <w:t>第二节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基本原则</w:t>
          </w:r>
          <w:r>
            <w:tab/>
          </w:r>
          <w:r>
            <w:fldChar w:fldCharType="begin"/>
          </w:r>
          <w:r>
            <w:instrText xml:space="preserve"> PAGEREF _Toc157760705 \h </w:instrText>
          </w:r>
          <w:r>
            <w:fldChar w:fldCharType="separate"/>
          </w:r>
          <w:r>
            <w:t>11</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"_Toc157760706" </w:instrText>
          </w:r>
          <w:r>
            <w:fldChar w:fldCharType="separate"/>
          </w:r>
          <w:r>
            <w:rPr>
              <w:rStyle w:val="23"/>
              <w:rFonts w:hint="eastAsia" w:ascii="方正楷体简体" w:hAnsi="黑体" w:eastAsia="方正楷体简体" w:cs="Times New Roman"/>
            </w:rPr>
            <w:t>第三节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规划目标</w:t>
          </w:r>
          <w:r>
            <w:tab/>
          </w:r>
          <w:r>
            <w:fldChar w:fldCharType="begin"/>
          </w:r>
          <w:r>
            <w:instrText xml:space="preserve"> PAGEREF _Toc157760706 \h </w:instrText>
          </w:r>
          <w:r>
            <w:fldChar w:fldCharType="separate"/>
          </w:r>
          <w:r>
            <w:t>12</w:t>
          </w:r>
          <w:r>
            <w:fldChar w:fldCharType="end"/>
          </w:r>
          <w:r>
            <w:fldChar w:fldCharType="end"/>
          </w:r>
        </w:p>
        <w:p>
          <w:pPr>
            <w:pStyle w:val="13"/>
            <w:tabs>
              <w:tab w:val="right" w:leader="dot" w:pos="8834"/>
            </w:tabs>
            <w:spacing w:line="540" w:lineRule="exact"/>
            <w:ind w:firstLine="640"/>
            <w:rPr>
              <w:rFonts w:asciiTheme="minorHAnsi" w:hAnsiTheme="minorHAnsi" w:eastAsiaTheme="minorEastAsia"/>
              <w:sz w:val="21"/>
              <w:szCs w:val="22"/>
            </w:rPr>
          </w:pPr>
          <w:r>
            <w:fldChar w:fldCharType="begin"/>
          </w:r>
          <w:r>
            <w:instrText xml:space="preserve"> HYPERLINK \l "_Toc157760707" </w:instrText>
          </w:r>
          <w:r>
            <w:fldChar w:fldCharType="separate"/>
          </w:r>
          <w:r>
            <w:rPr>
              <w:rStyle w:val="23"/>
              <w:rFonts w:hint="eastAsia" w:ascii="黑体" w:hAnsi="黑体" w:eastAsia="黑体" w:cs="Times New Roman"/>
            </w:rPr>
            <w:t>第三章 高质量发展，促进经济社会绿色转型</w:t>
          </w:r>
          <w:r>
            <w:tab/>
          </w:r>
          <w:r>
            <w:fldChar w:fldCharType="begin"/>
          </w:r>
          <w:r>
            <w:instrText xml:space="preserve"> PAGEREF _Toc157760707 \h </w:instrText>
          </w:r>
          <w:r>
            <w:fldChar w:fldCharType="separate"/>
          </w:r>
          <w:r>
            <w:t>14</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"_Toc157760708" </w:instrText>
          </w:r>
          <w:r>
            <w:fldChar w:fldCharType="separate"/>
          </w:r>
          <w:r>
            <w:rPr>
              <w:rStyle w:val="23"/>
              <w:rFonts w:hint="eastAsia" w:ascii="方正楷体简体" w:hAnsi="黑体" w:eastAsia="方正楷体简体" w:cs="Times New Roman"/>
            </w:rPr>
            <w:t>第一节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加快产业绿色转型升级</w:t>
          </w:r>
          <w:r>
            <w:tab/>
          </w:r>
          <w:r>
            <w:fldChar w:fldCharType="begin"/>
          </w:r>
          <w:r>
            <w:instrText xml:space="preserve"> PAGEREF _Toc157760708 \h </w:instrText>
          </w:r>
          <w:r>
            <w:fldChar w:fldCharType="separate"/>
          </w:r>
          <w:r>
            <w:t>14</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"_Toc157760709" </w:instrText>
          </w:r>
          <w:r>
            <w:fldChar w:fldCharType="separate"/>
          </w:r>
          <w:r>
            <w:rPr>
              <w:rStyle w:val="23"/>
              <w:rFonts w:hint="eastAsia" w:ascii="方正楷体简体" w:hAnsi="黑体" w:eastAsia="方正楷体简体" w:cs="Times New Roman"/>
            </w:rPr>
            <w:t>第二节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推进资源能源高效利用</w:t>
          </w:r>
          <w:r>
            <w:tab/>
          </w:r>
          <w:r>
            <w:fldChar w:fldCharType="begin"/>
          </w:r>
          <w:r>
            <w:instrText xml:space="preserve"> PAGEREF _Toc157760709 \h </w:instrText>
          </w:r>
          <w:r>
            <w:fldChar w:fldCharType="separate"/>
          </w:r>
          <w:r>
            <w:t>16</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"_Toc157760710" </w:instrText>
          </w:r>
          <w:r>
            <w:fldChar w:fldCharType="separate"/>
          </w:r>
          <w:r>
            <w:rPr>
              <w:rStyle w:val="23"/>
              <w:rFonts w:hint="eastAsia" w:ascii="方正楷体简体" w:hAnsi="黑体" w:eastAsia="方正楷体简体" w:cs="Times New Roman"/>
            </w:rPr>
            <w:t>第三节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提升应对气候变化能力</w:t>
          </w:r>
          <w:r>
            <w:tab/>
          </w:r>
          <w:r>
            <w:fldChar w:fldCharType="begin"/>
          </w:r>
          <w:r>
            <w:instrText xml:space="preserve"> PAGEREF _Toc157760710 \h </w:instrText>
          </w:r>
          <w:r>
            <w:fldChar w:fldCharType="separate"/>
          </w:r>
          <w:r>
            <w:t>17</w:t>
          </w:r>
          <w:r>
            <w:fldChar w:fldCharType="end"/>
          </w:r>
          <w:r>
            <w:fldChar w:fldCharType="end"/>
          </w:r>
        </w:p>
        <w:p>
          <w:pPr>
            <w:pStyle w:val="13"/>
            <w:tabs>
              <w:tab w:val="right" w:leader="dot" w:pos="8834"/>
            </w:tabs>
            <w:spacing w:line="540" w:lineRule="exact"/>
            <w:ind w:firstLine="640"/>
            <w:rPr>
              <w:rFonts w:asciiTheme="minorHAnsi" w:hAnsiTheme="minorHAnsi" w:eastAsiaTheme="minorEastAsia"/>
              <w:sz w:val="21"/>
              <w:szCs w:val="22"/>
            </w:rPr>
          </w:pPr>
          <w:r>
            <w:fldChar w:fldCharType="begin"/>
          </w:r>
          <w:r>
            <w:instrText xml:space="preserve"> HYPERLINK \l "_Toc157760711" </w:instrText>
          </w:r>
          <w:r>
            <w:fldChar w:fldCharType="separate"/>
          </w:r>
          <w:r>
            <w:rPr>
              <w:rStyle w:val="23"/>
              <w:rFonts w:hint="eastAsia" w:ascii="黑体" w:hAnsi="黑体" w:eastAsia="黑体" w:cs="Times New Roman"/>
            </w:rPr>
            <w:t>第四章 高水平保护，落实生态环境空间管控</w:t>
          </w:r>
          <w:r>
            <w:tab/>
          </w:r>
          <w:r>
            <w:fldChar w:fldCharType="begin"/>
          </w:r>
          <w:r>
            <w:instrText xml:space="preserve"> PAGEREF _Toc157760711 \h </w:instrText>
          </w:r>
          <w:r>
            <w:fldChar w:fldCharType="separate"/>
          </w:r>
          <w:r>
            <w:t>19</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"_Toc157760712" </w:instrText>
          </w:r>
          <w:r>
            <w:fldChar w:fldCharType="separate"/>
          </w:r>
          <w:r>
            <w:rPr>
              <w:rStyle w:val="23"/>
              <w:rFonts w:hint="eastAsia" w:ascii="方正楷体简体" w:hAnsi="黑体" w:eastAsia="方正楷体简体" w:cs="Times New Roman"/>
            </w:rPr>
            <w:t>第一节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实施</w:t>
          </w:r>
          <w:r>
            <w:rPr>
              <w:rStyle w:val="23"/>
              <w:rFonts w:ascii="方正楷体简体" w:hAnsi="黑体" w:eastAsia="方正楷体简体" w:cs="Times New Roman"/>
            </w:rPr>
            <w:t>“</w:t>
          </w:r>
          <w:r>
            <w:rPr>
              <w:rStyle w:val="23"/>
              <w:rFonts w:hint="eastAsia" w:ascii="方正楷体简体" w:hAnsi="黑体" w:eastAsia="方正楷体简体" w:cs="Times New Roman"/>
            </w:rPr>
            <w:t>一轴一带、一核三区</w:t>
          </w:r>
          <w:r>
            <w:rPr>
              <w:rStyle w:val="23"/>
              <w:rFonts w:ascii="方正楷体简体" w:hAnsi="黑体" w:eastAsia="方正楷体简体" w:cs="Times New Roman"/>
            </w:rPr>
            <w:t>”</w:t>
          </w:r>
          <w:r>
            <w:rPr>
              <w:rStyle w:val="23"/>
              <w:rFonts w:hint="eastAsia" w:ascii="方正楷体简体" w:hAnsi="黑体" w:eastAsia="方正楷体简体" w:cs="Times New Roman"/>
            </w:rPr>
            <w:t>空间发展战略</w:t>
          </w:r>
          <w:r>
            <w:tab/>
          </w:r>
          <w:r>
            <w:fldChar w:fldCharType="begin"/>
          </w:r>
          <w:r>
            <w:instrText xml:space="preserve"> PAGEREF _Toc157760712 \h </w:instrText>
          </w:r>
          <w:r>
            <w:fldChar w:fldCharType="separate"/>
          </w:r>
          <w:r>
            <w:t>19</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"_Toc157760713" </w:instrText>
          </w:r>
          <w:r>
            <w:fldChar w:fldCharType="separate"/>
          </w:r>
          <w:r>
            <w:rPr>
              <w:rStyle w:val="23"/>
              <w:rFonts w:hint="eastAsia" w:ascii="方正楷体简体" w:hAnsi="黑体" w:eastAsia="方正楷体简体" w:cs="Times New Roman"/>
            </w:rPr>
            <w:t>第二节</w:t>
          </w:r>
          <w:r>
            <w:rPr>
              <w:rStyle w:val="23"/>
              <w:rFonts w:ascii="黑体" w:hAnsi="黑体" w:eastAsia="黑体" w:cs="Times New Roman"/>
            </w:rPr>
            <w:t xml:space="preserve"> </w:t>
          </w:r>
          <w:r>
            <w:rPr>
              <w:rStyle w:val="23"/>
              <w:rFonts w:hint="eastAsia" w:ascii="方正楷体简体" w:hAnsi="黑体" w:eastAsia="方正楷体简体" w:cs="Times New Roman"/>
            </w:rPr>
            <w:t>落实生态环境分区管控</w:t>
          </w:r>
          <w:r>
            <w:tab/>
          </w:r>
          <w:r>
            <w:fldChar w:fldCharType="begin"/>
          </w:r>
          <w:r>
            <w:instrText xml:space="preserve"> PAGEREF _Toc157760713 \h </w:instrText>
          </w:r>
          <w:r>
            <w:fldChar w:fldCharType="separate"/>
          </w:r>
          <w:r>
            <w:t>20</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"_Toc157760714" </w:instrText>
          </w:r>
          <w:r>
            <w:fldChar w:fldCharType="separate"/>
          </w:r>
          <w:r>
            <w:rPr>
              <w:rStyle w:val="23"/>
              <w:rFonts w:hint="eastAsia" w:ascii="方正楷体简体" w:hAnsi="黑体" w:eastAsia="方正楷体简体" w:cs="Times New Roman"/>
            </w:rPr>
            <w:t>第三节</w:t>
          </w:r>
          <w:r>
            <w:rPr>
              <w:rStyle w:val="23"/>
              <w:rFonts w:ascii="黑体" w:hAnsi="黑体" w:eastAsia="黑体" w:cs="Times New Roman"/>
            </w:rPr>
            <w:t xml:space="preserve"> </w:t>
          </w:r>
          <w:r>
            <w:rPr>
              <w:rStyle w:val="23"/>
              <w:rFonts w:hint="eastAsia" w:ascii="方正楷体简体" w:hAnsi="黑体" w:eastAsia="方正楷体简体" w:cs="Times New Roman"/>
            </w:rPr>
            <w:t>保护重要生态空间</w:t>
          </w:r>
          <w:r>
            <w:tab/>
          </w:r>
          <w:r>
            <w:fldChar w:fldCharType="begin"/>
          </w:r>
          <w:r>
            <w:instrText xml:space="preserve"> PAGEREF _Toc157760714 \h </w:instrText>
          </w:r>
          <w:r>
            <w:fldChar w:fldCharType="separate"/>
          </w:r>
          <w:r>
            <w:t>21</w:t>
          </w:r>
          <w:r>
            <w:fldChar w:fldCharType="end"/>
          </w:r>
          <w:r>
            <w:fldChar w:fldCharType="end"/>
          </w:r>
        </w:p>
        <w:p>
          <w:pPr>
            <w:pStyle w:val="13"/>
            <w:tabs>
              <w:tab w:val="right" w:leader="dot" w:pos="8834"/>
            </w:tabs>
            <w:spacing w:line="540" w:lineRule="exact"/>
            <w:ind w:firstLine="640"/>
            <w:rPr>
              <w:rStyle w:val="23"/>
              <w:rFonts w:ascii="黑体" w:hAnsi="黑体" w:eastAsia="黑体" w:cs="Times New Roman"/>
            </w:rPr>
          </w:pPr>
          <w:r>
            <w:fldChar w:fldCharType="begin"/>
          </w:r>
          <w:r>
            <w:instrText xml:space="preserve"> HYPERLINK \l "_Toc157760715" </w:instrText>
          </w:r>
          <w:r>
            <w:fldChar w:fldCharType="separate"/>
          </w:r>
          <w:r>
            <w:rPr>
              <w:rStyle w:val="23"/>
              <w:rFonts w:hint="eastAsia" w:ascii="黑体" w:hAnsi="黑体" w:eastAsia="黑体" w:cs="Times New Roman"/>
            </w:rPr>
            <w:t>第五章 高标准治理，推动环境质量持续改善</w:t>
          </w:r>
          <w:r>
            <w:tab/>
          </w:r>
          <w:r>
            <w:rPr>
              <w:rStyle w:val="23"/>
              <w:rFonts w:eastAsia="黑体" w:cs="Times New Roman"/>
            </w:rPr>
            <w:fldChar w:fldCharType="begin"/>
          </w:r>
          <w:r>
            <w:rPr>
              <w:rStyle w:val="23"/>
              <w:rFonts w:eastAsia="黑体" w:cs="Times New Roman"/>
            </w:rPr>
            <w:instrText xml:space="preserve"> PAGEREF _Toc157760715 \h </w:instrText>
          </w:r>
          <w:r>
            <w:rPr>
              <w:rStyle w:val="23"/>
              <w:rFonts w:eastAsia="黑体" w:cs="Times New Roman"/>
            </w:rPr>
            <w:fldChar w:fldCharType="separate"/>
          </w:r>
          <w:r>
            <w:rPr>
              <w:rStyle w:val="23"/>
              <w:rFonts w:eastAsia="黑体" w:cs="Times New Roman"/>
            </w:rPr>
            <w:t>23</w:t>
          </w:r>
          <w:r>
            <w:rPr>
              <w:rStyle w:val="23"/>
              <w:rFonts w:eastAsia="黑体" w:cs="Times New Roman"/>
            </w:rPr>
            <w:fldChar w:fldCharType="end"/>
          </w:r>
          <w:r>
            <w:rPr>
              <w:rStyle w:val="23"/>
              <w:rFonts w:eastAsia="黑体" w:cs="Times New Roman"/>
            </w:rP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"_Toc157760716" </w:instrText>
          </w:r>
          <w:r>
            <w:fldChar w:fldCharType="separate"/>
          </w:r>
          <w:r>
            <w:rPr>
              <w:rStyle w:val="23"/>
              <w:rFonts w:hint="eastAsia" w:ascii="方正楷体简体" w:hAnsi="黑体" w:eastAsia="方正楷体简体" w:cs="Times New Roman"/>
            </w:rPr>
            <w:t>第一节</w:t>
          </w:r>
          <w:r>
            <w:rPr>
              <w:rStyle w:val="23"/>
              <w:rFonts w:ascii="黑体" w:hAnsi="黑体" w:eastAsia="黑体" w:cs="Times New Roman"/>
            </w:rPr>
            <w:t xml:space="preserve"> </w:t>
          </w:r>
          <w:r>
            <w:rPr>
              <w:rStyle w:val="23"/>
              <w:rFonts w:hint="eastAsia" w:ascii="方正楷体简体" w:hAnsi="黑体" w:eastAsia="方正楷体简体" w:cs="Times New Roman"/>
            </w:rPr>
            <w:t>精准提升大气污染防控能力</w:t>
          </w:r>
          <w:r>
            <w:tab/>
          </w:r>
          <w:r>
            <w:fldChar w:fldCharType="begin"/>
          </w:r>
          <w:r>
            <w:instrText xml:space="preserve"> PAGEREF _Toc157760716 \h </w:instrText>
          </w:r>
          <w:r>
            <w:fldChar w:fldCharType="separate"/>
          </w:r>
          <w:r>
            <w:t>23</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"_Toc157760717" </w:instrText>
          </w:r>
          <w:r>
            <w:fldChar w:fldCharType="separate"/>
          </w:r>
          <w:r>
            <w:rPr>
              <w:rStyle w:val="23"/>
              <w:rFonts w:hint="eastAsia" w:ascii="方正楷体简体" w:hAnsi="黑体" w:eastAsia="方正楷体简体" w:cs="Times New Roman"/>
            </w:rPr>
            <w:t>第二节</w:t>
          </w:r>
          <w:r>
            <w:rPr>
              <w:rStyle w:val="23"/>
              <w:rFonts w:ascii="黑体" w:hAnsi="黑体" w:eastAsia="黑体" w:cs="Times New Roman"/>
            </w:rPr>
            <w:t xml:space="preserve"> </w:t>
          </w:r>
          <w:r>
            <w:rPr>
              <w:rStyle w:val="23"/>
              <w:rFonts w:hint="eastAsia" w:ascii="方正楷体简体" w:hAnsi="黑体" w:eastAsia="方正楷体简体" w:cs="Times New Roman"/>
            </w:rPr>
            <w:t>系统推进水环境长效治理</w:t>
          </w:r>
          <w:r>
            <w:tab/>
          </w:r>
          <w:r>
            <w:fldChar w:fldCharType="begin"/>
          </w:r>
          <w:r>
            <w:instrText xml:space="preserve"> PAGEREF _Toc157760717 \h </w:instrText>
          </w:r>
          <w:r>
            <w:fldChar w:fldCharType="separate"/>
          </w:r>
          <w:r>
            <w:t>26</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"_Toc157760718" </w:instrText>
          </w:r>
          <w:r>
            <w:fldChar w:fldCharType="separate"/>
          </w:r>
          <w:r>
            <w:rPr>
              <w:rStyle w:val="23"/>
              <w:rFonts w:hint="eastAsia" w:ascii="方正楷体简体" w:hAnsi="黑体" w:eastAsia="方正楷体简体" w:cs="Times New Roman"/>
            </w:rPr>
            <w:t>第三节</w:t>
          </w:r>
          <w:r>
            <w:rPr>
              <w:rStyle w:val="23"/>
              <w:rFonts w:ascii="黑体" w:hAnsi="黑体" w:eastAsia="黑体" w:cs="Times New Roman"/>
            </w:rPr>
            <w:t xml:space="preserve"> </w:t>
          </w:r>
          <w:r>
            <w:rPr>
              <w:rStyle w:val="23"/>
              <w:rFonts w:hint="eastAsia" w:ascii="方正楷体简体" w:hAnsi="黑体" w:eastAsia="方正楷体简体" w:cs="Times New Roman"/>
            </w:rPr>
            <w:t>陆海统筹海洋污染防治</w:t>
          </w:r>
          <w:r>
            <w:tab/>
          </w:r>
          <w:r>
            <w:fldChar w:fldCharType="begin"/>
          </w:r>
          <w:r>
            <w:instrText xml:space="preserve"> PAGEREF _Toc157760718 \h </w:instrText>
          </w:r>
          <w:r>
            <w:fldChar w:fldCharType="separate"/>
          </w:r>
          <w:r>
            <w:t>29</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"_Toc157760719" </w:instrText>
          </w:r>
          <w:r>
            <w:fldChar w:fldCharType="separate"/>
          </w:r>
          <w:r>
            <w:rPr>
              <w:rStyle w:val="23"/>
              <w:rFonts w:hint="eastAsia" w:ascii="方正楷体简体" w:hAnsi="黑体" w:eastAsia="方正楷体简体" w:cs="Times New Roman"/>
            </w:rPr>
            <w:t>第四节</w:t>
          </w:r>
          <w:r>
            <w:rPr>
              <w:rStyle w:val="23"/>
              <w:rFonts w:ascii="黑体" w:hAnsi="黑体" w:eastAsia="黑体" w:cs="Times New Roman"/>
            </w:rPr>
            <w:t xml:space="preserve"> </w:t>
          </w:r>
          <w:r>
            <w:rPr>
              <w:rStyle w:val="23"/>
              <w:rFonts w:hint="eastAsia" w:ascii="方正楷体简体" w:hAnsi="黑体" w:eastAsia="方正楷体简体" w:cs="Times New Roman"/>
            </w:rPr>
            <w:t>强化土壤和地下水污染协同防治</w:t>
          </w:r>
          <w:r>
            <w:tab/>
          </w:r>
          <w:r>
            <w:fldChar w:fldCharType="begin"/>
          </w:r>
          <w:r>
            <w:instrText xml:space="preserve"> PAGEREF _Toc157760719 \h </w:instrText>
          </w:r>
          <w:r>
            <w:fldChar w:fldCharType="separate"/>
          </w:r>
          <w:r>
            <w:t>30</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"_Toc157760720" </w:instrText>
          </w:r>
          <w:r>
            <w:fldChar w:fldCharType="separate"/>
          </w:r>
          <w:r>
            <w:rPr>
              <w:rStyle w:val="23"/>
              <w:rFonts w:hint="eastAsia" w:ascii="方正楷体简体" w:hAnsi="黑体" w:eastAsia="方正楷体简体" w:cs="Times New Roman"/>
            </w:rPr>
            <w:t>第五节</w:t>
          </w:r>
          <w:r>
            <w:rPr>
              <w:rStyle w:val="23"/>
              <w:rFonts w:ascii="黑体" w:hAnsi="黑体" w:eastAsia="黑体" w:cs="Times New Roman"/>
            </w:rPr>
            <w:t xml:space="preserve"> </w:t>
          </w:r>
          <w:r>
            <w:rPr>
              <w:rStyle w:val="23"/>
              <w:rFonts w:hint="eastAsia" w:ascii="方正楷体简体" w:hAnsi="黑体" w:eastAsia="方正楷体简体" w:cs="Times New Roman"/>
            </w:rPr>
            <w:t>深化农业农村环境治理</w:t>
          </w:r>
          <w:r>
            <w:tab/>
          </w:r>
          <w:r>
            <w:fldChar w:fldCharType="begin"/>
          </w:r>
          <w:r>
            <w:instrText xml:space="preserve"> PAGEREF _Toc157760720 \h </w:instrText>
          </w:r>
          <w:r>
            <w:fldChar w:fldCharType="separate"/>
          </w:r>
          <w:r>
            <w:t>31</w:t>
          </w:r>
          <w:r>
            <w:fldChar w:fldCharType="end"/>
          </w:r>
          <w:r>
            <w:fldChar w:fldCharType="end"/>
          </w:r>
        </w:p>
        <w:p>
          <w:pPr>
            <w:pStyle w:val="15"/>
            <w:tabs>
              <w:tab w:val="right" w:leader="dot" w:pos="8834"/>
            </w:tabs>
            <w:spacing w:line="540" w:lineRule="exact"/>
            <w:ind w:left="640" w:firstLine="640"/>
            <w:rPr>
              <w:rFonts w:asciiTheme="minorHAnsi" w:hAnsiTheme="minorHAnsi" w:eastAsiaTheme="minorEastAsia"/>
              <w:sz w:val="21"/>
              <w:szCs w:val="22"/>
            </w:rPr>
          </w:pPr>
          <w:r>
            <w:fldChar w:fldCharType="begin"/>
          </w:r>
          <w:r>
            <w:instrText xml:space="preserve"> HYPERLINK \l "_Toc157760721" </w:instrText>
          </w:r>
          <w:r>
            <w:fldChar w:fldCharType="separate"/>
          </w:r>
          <w:r>
            <w:rPr>
              <w:rStyle w:val="23"/>
              <w:rFonts w:hint="eastAsia" w:ascii="方正楷体简体" w:hAnsi="黑体" w:eastAsia="方正楷体简体" w:cs="Times New Roman"/>
            </w:rPr>
            <w:t>第六节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加强噪声污染综合管理</w:t>
          </w:r>
          <w:r>
            <w:tab/>
          </w:r>
          <w:r>
            <w:fldChar w:fldCharType="begin"/>
          </w:r>
          <w:r>
            <w:instrText xml:space="preserve"> PAGEREF _Toc157760721 \h </w:instrText>
          </w:r>
          <w:r>
            <w:fldChar w:fldCharType="separate"/>
          </w:r>
          <w:r>
            <w:t>33</w:t>
          </w:r>
          <w:r>
            <w:fldChar w:fldCharType="end"/>
          </w:r>
          <w:r>
            <w:fldChar w:fldCharType="end"/>
          </w:r>
        </w:p>
        <w:p>
          <w:pPr>
            <w:pStyle w:val="13"/>
            <w:tabs>
              <w:tab w:val="right" w:leader="dot" w:pos="8834"/>
            </w:tabs>
            <w:ind w:firstLine="640"/>
            <w:rPr>
              <w:rFonts w:asciiTheme="minorHAnsi" w:hAnsiTheme="minorHAnsi" w:eastAsiaTheme="minorEastAsia"/>
              <w:sz w:val="21"/>
              <w:szCs w:val="22"/>
            </w:rPr>
          </w:pPr>
          <w:r>
            <w:fldChar w:fldCharType="begin"/>
          </w:r>
          <w:r>
            <w:instrText xml:space="preserve"> HYPERLINK \l "_Toc157760722" </w:instrText>
          </w:r>
          <w:r>
            <w:fldChar w:fldCharType="separate"/>
          </w:r>
          <w:r>
            <w:rPr>
              <w:rStyle w:val="23"/>
              <w:rFonts w:hint="eastAsia" w:ascii="黑体" w:hAnsi="黑体" w:eastAsia="黑体" w:cs="Times New Roman"/>
            </w:rPr>
            <w:t>第六章 全过程管控，有效防范降低环境风险</w:t>
          </w:r>
          <w:r>
            <w:tab/>
          </w:r>
          <w:r>
            <w:fldChar w:fldCharType="begin"/>
          </w:r>
          <w:r>
            <w:instrText xml:space="preserve"> PAGEREF _Toc157760722 \h </w:instrText>
          </w:r>
          <w:r>
            <w:fldChar w:fldCharType="separate"/>
          </w:r>
          <w:r>
            <w:t>35</w:t>
          </w:r>
          <w:r>
            <w:fldChar w:fldCharType="end"/>
          </w:r>
          <w:r>
            <w:fldChar w:fldCharType="end"/>
          </w:r>
        </w:p>
        <w:p>
          <w:pPr>
            <w:pStyle w:val="15"/>
            <w:tabs>
              <w:tab w:val="right" w:leader="dot" w:pos="8834"/>
            </w:tabs>
            <w:ind w:left="640" w:firstLine="640"/>
            <w:rPr>
              <w:rFonts w:asciiTheme="minorHAnsi" w:hAnsiTheme="minorHAnsi" w:eastAsiaTheme="minorEastAsia"/>
              <w:sz w:val="21"/>
              <w:szCs w:val="22"/>
            </w:rPr>
          </w:pPr>
          <w:r>
            <w:fldChar w:fldCharType="begin"/>
          </w:r>
          <w:r>
            <w:instrText xml:space="preserve"> HYPERLINK \l "_Toc157760723" </w:instrText>
          </w:r>
          <w:r>
            <w:fldChar w:fldCharType="separate"/>
          </w:r>
          <w:r>
            <w:rPr>
              <w:rStyle w:val="23"/>
              <w:rFonts w:hint="eastAsia" w:ascii="方正楷体简体" w:hAnsi="黑体" w:eastAsia="方正楷体简体" w:cs="Times New Roman"/>
            </w:rPr>
            <w:t>第一节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加强固体废物污染防治</w:t>
          </w:r>
          <w:r>
            <w:tab/>
          </w:r>
          <w:r>
            <w:fldChar w:fldCharType="begin"/>
          </w:r>
          <w:r>
            <w:instrText xml:space="preserve"> PAGEREF _Toc157760723 \h </w:instrText>
          </w:r>
          <w:r>
            <w:fldChar w:fldCharType="separate"/>
          </w:r>
          <w:r>
            <w:t>35</w:t>
          </w:r>
          <w:r>
            <w:fldChar w:fldCharType="end"/>
          </w:r>
          <w:r>
            <w:fldChar w:fldCharType="end"/>
          </w:r>
        </w:p>
        <w:p>
          <w:pPr>
            <w:pStyle w:val="15"/>
            <w:tabs>
              <w:tab w:val="right" w:leader="dot" w:pos="8834"/>
            </w:tabs>
            <w:ind w:left="640" w:firstLine="640"/>
            <w:rPr>
              <w:rFonts w:asciiTheme="minorHAnsi" w:hAnsiTheme="minorHAnsi" w:eastAsiaTheme="minorEastAsia"/>
              <w:sz w:val="21"/>
              <w:szCs w:val="22"/>
            </w:rPr>
          </w:pPr>
          <w:r>
            <w:fldChar w:fldCharType="begin"/>
          </w:r>
          <w:r>
            <w:instrText xml:space="preserve"> HYPERLINK \l "_Toc157760724" </w:instrText>
          </w:r>
          <w:r>
            <w:fldChar w:fldCharType="separate"/>
          </w:r>
          <w:r>
            <w:rPr>
              <w:rStyle w:val="23"/>
              <w:rFonts w:hint="eastAsia" w:ascii="方正楷体简体" w:hAnsi="黑体" w:eastAsia="方正楷体简体" w:cs="Times New Roman"/>
            </w:rPr>
            <w:t>第二节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加强重金属和危险化学品环境风险防控</w:t>
          </w:r>
          <w:r>
            <w:tab/>
          </w:r>
          <w:r>
            <w:fldChar w:fldCharType="begin"/>
          </w:r>
          <w:r>
            <w:instrText xml:space="preserve"> PAGEREF _Toc157760724 \h </w:instrText>
          </w:r>
          <w:r>
            <w:fldChar w:fldCharType="separate"/>
          </w:r>
          <w:r>
            <w:t>37</w:t>
          </w:r>
          <w:r>
            <w:fldChar w:fldCharType="end"/>
          </w:r>
          <w:r>
            <w:fldChar w:fldCharType="end"/>
          </w:r>
        </w:p>
        <w:p>
          <w:pPr>
            <w:pStyle w:val="15"/>
            <w:tabs>
              <w:tab w:val="right" w:leader="dot" w:pos="8834"/>
            </w:tabs>
            <w:ind w:left="640" w:firstLine="640"/>
            <w:rPr>
              <w:rStyle w:val="23"/>
              <w:rFonts w:ascii="方正楷体简体" w:hAnsi="黑体" w:eastAsia="方正楷体简体" w:cs="Times New Roman"/>
            </w:rPr>
          </w:pPr>
          <w:r>
            <w:fldChar w:fldCharType="begin"/>
          </w:r>
          <w:r>
            <w:instrText xml:space="preserve"> HYPERLINK \l "_Toc157760725" </w:instrText>
          </w:r>
          <w:r>
            <w:fldChar w:fldCharType="separate"/>
          </w:r>
          <w:r>
            <w:rPr>
              <w:rStyle w:val="23"/>
              <w:rFonts w:hint="eastAsia" w:ascii="方正楷体简体" w:hAnsi="黑体" w:eastAsia="方正楷体简体" w:cs="Times New Roman"/>
            </w:rPr>
            <w:t>第三节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加强核与辐射安全监管</w:t>
          </w:r>
          <w:r>
            <w:rPr>
              <w:rStyle w:val="23"/>
              <w:rFonts w:ascii="方正楷体简体" w:hAnsi="黑体" w:eastAsia="方正楷体简体" w:cs="Times New Roman"/>
            </w:rPr>
            <w:tab/>
          </w:r>
          <w:r>
            <w:rPr>
              <w:rStyle w:val="23"/>
              <w:rFonts w:eastAsia="方正楷体简体" w:cs="Times New Roman"/>
            </w:rPr>
            <w:fldChar w:fldCharType="begin"/>
          </w:r>
          <w:r>
            <w:rPr>
              <w:rStyle w:val="23"/>
              <w:rFonts w:eastAsia="方正楷体简体" w:cs="Times New Roman"/>
            </w:rPr>
            <w:instrText xml:space="preserve"> PAGEREF _Toc157760725 \h </w:instrText>
          </w:r>
          <w:r>
            <w:rPr>
              <w:rStyle w:val="23"/>
              <w:rFonts w:eastAsia="方正楷体简体" w:cs="Times New Roman"/>
            </w:rPr>
            <w:fldChar w:fldCharType="separate"/>
          </w:r>
          <w:r>
            <w:rPr>
              <w:rStyle w:val="23"/>
              <w:rFonts w:eastAsia="方正楷体简体" w:cs="Times New Roman"/>
            </w:rPr>
            <w:t>37</w:t>
          </w:r>
          <w:r>
            <w:rPr>
              <w:rStyle w:val="23"/>
              <w:rFonts w:eastAsia="方正楷体简体" w:cs="Times New Roman"/>
            </w:rPr>
            <w:fldChar w:fldCharType="end"/>
          </w:r>
          <w:r>
            <w:rPr>
              <w:rStyle w:val="23"/>
              <w:rFonts w:eastAsia="方正楷体简体" w:cs="Times New Roman"/>
            </w:rPr>
            <w:fldChar w:fldCharType="end"/>
          </w:r>
        </w:p>
        <w:p>
          <w:pPr>
            <w:pStyle w:val="13"/>
            <w:tabs>
              <w:tab w:val="right" w:leader="dot" w:pos="8834"/>
            </w:tabs>
            <w:ind w:firstLine="640"/>
            <w:rPr>
              <w:rFonts w:asciiTheme="minorHAnsi" w:hAnsiTheme="minorHAnsi" w:eastAsiaTheme="minorEastAsia"/>
              <w:sz w:val="21"/>
              <w:szCs w:val="22"/>
            </w:rPr>
          </w:pPr>
          <w:r>
            <w:fldChar w:fldCharType="begin"/>
          </w:r>
          <w:r>
            <w:instrText xml:space="preserve"> HYPERLINK \l "_Toc157760726" </w:instrText>
          </w:r>
          <w:r>
            <w:fldChar w:fldCharType="separate"/>
          </w:r>
          <w:r>
            <w:rPr>
              <w:rStyle w:val="23"/>
              <w:rFonts w:hint="eastAsia" w:ascii="黑体" w:hAnsi="黑体" w:eastAsia="黑体" w:cs="Times New Roman"/>
            </w:rPr>
            <w:t>第七章 高效能监管，推进环境治理体系和能力现代化</w:t>
          </w:r>
          <w:r>
            <w:tab/>
          </w:r>
          <w:r>
            <w:fldChar w:fldCharType="begin"/>
          </w:r>
          <w:r>
            <w:instrText xml:space="preserve"> PAGEREF _Toc157760726 \h </w:instrText>
          </w:r>
          <w:r>
            <w:fldChar w:fldCharType="separate"/>
          </w:r>
          <w:r>
            <w:t>39</w:t>
          </w:r>
          <w:r>
            <w:fldChar w:fldCharType="end"/>
          </w:r>
          <w:r>
            <w:fldChar w:fldCharType="end"/>
          </w:r>
        </w:p>
        <w:p>
          <w:pPr>
            <w:pStyle w:val="15"/>
            <w:tabs>
              <w:tab w:val="right" w:leader="dot" w:pos="8834"/>
            </w:tabs>
            <w:ind w:left="640" w:firstLine="640"/>
            <w:rPr>
              <w:rFonts w:asciiTheme="minorHAnsi" w:hAnsiTheme="minorHAnsi" w:eastAsiaTheme="minorEastAsia"/>
              <w:sz w:val="21"/>
              <w:szCs w:val="22"/>
            </w:rPr>
          </w:pPr>
          <w:r>
            <w:fldChar w:fldCharType="begin"/>
          </w:r>
          <w:r>
            <w:instrText xml:space="preserve"> HYPERLINK \l "_Toc157760727" </w:instrText>
          </w:r>
          <w:r>
            <w:fldChar w:fldCharType="separate"/>
          </w:r>
          <w:r>
            <w:rPr>
              <w:rStyle w:val="23"/>
              <w:rFonts w:hint="eastAsia" w:ascii="方正楷体简体" w:hAnsi="黑体" w:eastAsia="方正楷体简体" w:cs="Times New Roman"/>
            </w:rPr>
            <w:t>第一节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健全生态环境治理责任体系</w:t>
          </w:r>
          <w:r>
            <w:tab/>
          </w:r>
          <w:r>
            <w:fldChar w:fldCharType="begin"/>
          </w:r>
          <w:r>
            <w:instrText xml:space="preserve"> PAGEREF _Toc157760727 \h </w:instrText>
          </w:r>
          <w:r>
            <w:fldChar w:fldCharType="separate"/>
          </w:r>
          <w:r>
            <w:t>39</w:t>
          </w:r>
          <w:r>
            <w:fldChar w:fldCharType="end"/>
          </w:r>
          <w:r>
            <w:fldChar w:fldCharType="end"/>
          </w:r>
        </w:p>
        <w:p>
          <w:pPr>
            <w:pStyle w:val="15"/>
            <w:tabs>
              <w:tab w:val="right" w:leader="dot" w:pos="8834"/>
            </w:tabs>
            <w:ind w:left="640" w:firstLine="640"/>
            <w:rPr>
              <w:rFonts w:asciiTheme="minorHAnsi" w:hAnsiTheme="minorHAnsi" w:eastAsiaTheme="minorEastAsia"/>
              <w:sz w:val="21"/>
              <w:szCs w:val="22"/>
            </w:rPr>
          </w:pPr>
          <w:r>
            <w:fldChar w:fldCharType="begin"/>
          </w:r>
          <w:r>
            <w:instrText xml:space="preserve"> HYPERLINK \l "_Toc157760728" </w:instrText>
          </w:r>
          <w:r>
            <w:fldChar w:fldCharType="separate"/>
          </w:r>
          <w:r>
            <w:rPr>
              <w:rStyle w:val="23"/>
              <w:rFonts w:hint="eastAsia" w:ascii="方正楷体简体" w:hAnsi="黑体" w:eastAsia="方正楷体简体" w:cs="Times New Roman"/>
            </w:rPr>
            <w:t>第二节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加强生态环境监管执法能力</w:t>
          </w:r>
          <w:r>
            <w:tab/>
          </w:r>
          <w:r>
            <w:fldChar w:fldCharType="begin"/>
          </w:r>
          <w:r>
            <w:instrText xml:space="preserve"> PAGEREF _Toc157760728 \h </w:instrText>
          </w:r>
          <w:r>
            <w:fldChar w:fldCharType="separate"/>
          </w:r>
          <w:r>
            <w:t>40</w:t>
          </w:r>
          <w:r>
            <w:fldChar w:fldCharType="end"/>
          </w:r>
          <w:r>
            <w:fldChar w:fldCharType="end"/>
          </w:r>
        </w:p>
        <w:p>
          <w:pPr>
            <w:pStyle w:val="15"/>
            <w:tabs>
              <w:tab w:val="right" w:leader="dot" w:pos="8834"/>
            </w:tabs>
            <w:ind w:left="640" w:firstLine="640"/>
            <w:rPr>
              <w:rFonts w:asciiTheme="minorHAnsi" w:hAnsiTheme="minorHAnsi" w:eastAsiaTheme="minorEastAsia"/>
              <w:sz w:val="21"/>
              <w:szCs w:val="22"/>
            </w:rPr>
          </w:pPr>
          <w:r>
            <w:fldChar w:fldCharType="begin"/>
          </w:r>
          <w:r>
            <w:instrText xml:space="preserve"> HYPERLINK \l "_Toc157760729" </w:instrText>
          </w:r>
          <w:r>
            <w:fldChar w:fldCharType="separate"/>
          </w:r>
          <w:r>
            <w:rPr>
              <w:rStyle w:val="23"/>
              <w:rFonts w:hint="eastAsia" w:ascii="方正楷体简体" w:hAnsi="黑体" w:eastAsia="方正楷体简体" w:cs="Times New Roman"/>
            </w:rPr>
            <w:t>第三节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强化生态环境监测预警能力</w:t>
          </w:r>
          <w:r>
            <w:tab/>
          </w:r>
          <w:r>
            <w:fldChar w:fldCharType="begin"/>
          </w:r>
          <w:r>
            <w:instrText xml:space="preserve"> PAGEREF _Toc157760729 \h </w:instrText>
          </w:r>
          <w:r>
            <w:fldChar w:fldCharType="separate"/>
          </w:r>
          <w:r>
            <w:t>42</w:t>
          </w:r>
          <w:r>
            <w:fldChar w:fldCharType="end"/>
          </w:r>
          <w:r>
            <w:fldChar w:fldCharType="end"/>
          </w:r>
        </w:p>
        <w:p>
          <w:pPr>
            <w:pStyle w:val="15"/>
            <w:tabs>
              <w:tab w:val="right" w:leader="dot" w:pos="8834"/>
            </w:tabs>
            <w:ind w:left="640" w:firstLine="640"/>
            <w:rPr>
              <w:rFonts w:asciiTheme="minorHAnsi" w:hAnsiTheme="minorHAnsi" w:eastAsiaTheme="minorEastAsia"/>
              <w:sz w:val="21"/>
              <w:szCs w:val="22"/>
            </w:rPr>
          </w:pPr>
          <w:r>
            <w:fldChar w:fldCharType="begin"/>
          </w:r>
          <w:r>
            <w:instrText xml:space="preserve"> HYPERLINK \l "_Toc157760730" </w:instrText>
          </w:r>
          <w:r>
            <w:fldChar w:fldCharType="separate"/>
          </w:r>
          <w:r>
            <w:rPr>
              <w:rStyle w:val="23"/>
              <w:rFonts w:hint="eastAsia" w:ascii="方正楷体简体" w:hAnsi="黑体" w:eastAsia="方正楷体简体" w:cs="Times New Roman"/>
            </w:rPr>
            <w:t>第四节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完善生态环境应急管理能力</w:t>
          </w:r>
          <w:r>
            <w:tab/>
          </w:r>
          <w:r>
            <w:fldChar w:fldCharType="begin"/>
          </w:r>
          <w:r>
            <w:instrText xml:space="preserve"> PAGEREF _Toc157760730 \h </w:instrText>
          </w:r>
          <w:r>
            <w:fldChar w:fldCharType="separate"/>
          </w:r>
          <w:r>
            <w:t>43</w:t>
          </w:r>
          <w:r>
            <w:fldChar w:fldCharType="end"/>
          </w:r>
          <w:r>
            <w:fldChar w:fldCharType="end"/>
          </w:r>
        </w:p>
        <w:p>
          <w:pPr>
            <w:pStyle w:val="15"/>
            <w:tabs>
              <w:tab w:val="right" w:leader="dot" w:pos="8834"/>
            </w:tabs>
            <w:ind w:left="640" w:firstLine="640"/>
            <w:rPr>
              <w:rFonts w:asciiTheme="minorHAnsi" w:hAnsiTheme="minorHAnsi" w:eastAsiaTheme="minorEastAsia"/>
              <w:sz w:val="21"/>
              <w:szCs w:val="22"/>
            </w:rPr>
          </w:pPr>
          <w:r>
            <w:fldChar w:fldCharType="begin"/>
          </w:r>
          <w:r>
            <w:instrText xml:space="preserve"> HYPERLINK \l "_Toc157760731" </w:instrText>
          </w:r>
          <w:r>
            <w:fldChar w:fldCharType="separate"/>
          </w:r>
          <w:r>
            <w:rPr>
              <w:rStyle w:val="23"/>
              <w:rFonts w:hint="eastAsia" w:ascii="方正楷体简体" w:hAnsi="黑体" w:eastAsia="方正楷体简体" w:cs="Times New Roman"/>
            </w:rPr>
            <w:t>第五节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建设生态环境市场化机制</w:t>
          </w:r>
          <w:r>
            <w:tab/>
          </w:r>
          <w:r>
            <w:fldChar w:fldCharType="begin"/>
          </w:r>
          <w:r>
            <w:instrText xml:space="preserve"> PAGEREF _Toc157760731 \h </w:instrText>
          </w:r>
          <w:r>
            <w:fldChar w:fldCharType="separate"/>
          </w:r>
          <w:r>
            <w:t>43</w:t>
          </w:r>
          <w:r>
            <w:fldChar w:fldCharType="end"/>
          </w:r>
          <w:r>
            <w:fldChar w:fldCharType="end"/>
          </w:r>
        </w:p>
        <w:p>
          <w:pPr>
            <w:pStyle w:val="15"/>
            <w:tabs>
              <w:tab w:val="right" w:leader="dot" w:pos="8834"/>
            </w:tabs>
            <w:ind w:left="640" w:firstLine="640"/>
            <w:rPr>
              <w:rFonts w:asciiTheme="minorHAnsi" w:hAnsiTheme="minorHAnsi" w:eastAsiaTheme="minorEastAsia"/>
              <w:sz w:val="21"/>
              <w:szCs w:val="22"/>
            </w:rPr>
          </w:pPr>
          <w:r>
            <w:fldChar w:fldCharType="begin"/>
          </w:r>
          <w:r>
            <w:instrText xml:space="preserve"> HYPERLINK \l "_Toc157760732" </w:instrText>
          </w:r>
          <w:r>
            <w:fldChar w:fldCharType="separate"/>
          </w:r>
          <w:r>
            <w:rPr>
              <w:rStyle w:val="23"/>
              <w:rFonts w:hint="eastAsia" w:ascii="方正楷体简体" w:hAnsi="黑体" w:eastAsia="方正楷体简体" w:cs="Times New Roman"/>
            </w:rPr>
            <w:t>第六节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开展全民低碳行动</w:t>
          </w:r>
          <w:r>
            <w:tab/>
          </w:r>
          <w:r>
            <w:fldChar w:fldCharType="begin"/>
          </w:r>
          <w:r>
            <w:instrText xml:space="preserve"> PAGEREF _Toc157760732 \h </w:instrText>
          </w:r>
          <w:r>
            <w:fldChar w:fldCharType="separate"/>
          </w:r>
          <w:r>
            <w:t>44</w:t>
          </w:r>
          <w:r>
            <w:fldChar w:fldCharType="end"/>
          </w:r>
          <w:r>
            <w:fldChar w:fldCharType="end"/>
          </w:r>
        </w:p>
        <w:p>
          <w:pPr>
            <w:pStyle w:val="13"/>
            <w:tabs>
              <w:tab w:val="right" w:leader="dot" w:pos="8834"/>
            </w:tabs>
            <w:ind w:firstLine="640"/>
            <w:rPr>
              <w:rFonts w:asciiTheme="minorHAnsi" w:hAnsiTheme="minorHAnsi" w:eastAsiaTheme="minorEastAsia"/>
              <w:sz w:val="21"/>
              <w:szCs w:val="22"/>
            </w:rPr>
          </w:pPr>
          <w:r>
            <w:fldChar w:fldCharType="begin"/>
          </w:r>
          <w:r>
            <w:instrText xml:space="preserve"> HYPERLINK \l "_Toc157760733" </w:instrText>
          </w:r>
          <w:r>
            <w:fldChar w:fldCharType="separate"/>
          </w:r>
          <w:r>
            <w:rPr>
              <w:rStyle w:val="23"/>
              <w:rFonts w:hint="eastAsia" w:ascii="黑体" w:hAnsi="黑体" w:eastAsia="黑体" w:cs="Times New Roman"/>
            </w:rPr>
            <w:t>第八章 保障措施</w:t>
          </w:r>
          <w:r>
            <w:tab/>
          </w:r>
          <w:r>
            <w:fldChar w:fldCharType="begin"/>
          </w:r>
          <w:r>
            <w:instrText xml:space="preserve"> PAGEREF _Toc157760733 \h </w:instrText>
          </w:r>
          <w:r>
            <w:fldChar w:fldCharType="separate"/>
          </w:r>
          <w:r>
            <w:t>46</w:t>
          </w:r>
          <w:r>
            <w:fldChar w:fldCharType="end"/>
          </w:r>
          <w:r>
            <w:fldChar w:fldCharType="end"/>
          </w:r>
        </w:p>
        <w:p>
          <w:pPr>
            <w:pStyle w:val="15"/>
            <w:tabs>
              <w:tab w:val="right" w:leader="dot" w:pos="8834"/>
            </w:tabs>
            <w:ind w:left="640" w:firstLine="640"/>
            <w:rPr>
              <w:rFonts w:asciiTheme="minorHAnsi" w:hAnsiTheme="minorHAnsi" w:eastAsiaTheme="minorEastAsia"/>
              <w:sz w:val="21"/>
              <w:szCs w:val="22"/>
            </w:rPr>
          </w:pPr>
          <w:r>
            <w:fldChar w:fldCharType="begin"/>
          </w:r>
          <w:r>
            <w:instrText xml:space="preserve"> HYPERLINK \l "_Toc157760734" </w:instrText>
          </w:r>
          <w:r>
            <w:fldChar w:fldCharType="separate"/>
          </w:r>
          <w:r>
            <w:rPr>
              <w:rStyle w:val="23"/>
              <w:rFonts w:hint="eastAsia" w:ascii="方正楷体简体" w:hAnsi="黑体" w:eastAsia="方正楷体简体" w:cs="Times New Roman"/>
            </w:rPr>
            <w:t>第一节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强化组织落实</w:t>
          </w:r>
          <w:r>
            <w:tab/>
          </w:r>
          <w:r>
            <w:fldChar w:fldCharType="begin"/>
          </w:r>
          <w:r>
            <w:instrText xml:space="preserve"> PAGEREF _Toc157760734 \h </w:instrText>
          </w:r>
          <w:r>
            <w:fldChar w:fldCharType="separate"/>
          </w:r>
          <w:r>
            <w:t>46</w:t>
          </w:r>
          <w:r>
            <w:fldChar w:fldCharType="end"/>
          </w:r>
          <w:r>
            <w:fldChar w:fldCharType="end"/>
          </w:r>
        </w:p>
        <w:p>
          <w:pPr>
            <w:pStyle w:val="15"/>
            <w:tabs>
              <w:tab w:val="right" w:leader="dot" w:pos="8834"/>
            </w:tabs>
            <w:ind w:left="640" w:firstLine="640"/>
            <w:rPr>
              <w:rFonts w:asciiTheme="minorHAnsi" w:hAnsiTheme="minorHAnsi" w:eastAsiaTheme="minorEastAsia"/>
              <w:sz w:val="21"/>
              <w:szCs w:val="22"/>
            </w:rPr>
          </w:pPr>
          <w:r>
            <w:fldChar w:fldCharType="begin"/>
          </w:r>
          <w:r>
            <w:instrText xml:space="preserve"> HYPERLINK \l "_Toc157760735" </w:instrText>
          </w:r>
          <w:r>
            <w:fldChar w:fldCharType="separate"/>
          </w:r>
          <w:r>
            <w:rPr>
              <w:rStyle w:val="23"/>
              <w:rFonts w:hint="eastAsia" w:ascii="方正楷体简体" w:hAnsi="黑体" w:eastAsia="方正楷体简体" w:cs="Times New Roman"/>
            </w:rPr>
            <w:t>第二节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强化工程支撑</w:t>
          </w:r>
          <w:r>
            <w:tab/>
          </w:r>
          <w:r>
            <w:fldChar w:fldCharType="begin"/>
          </w:r>
          <w:r>
            <w:instrText xml:space="preserve"> PAGEREF _Toc157760735 \h </w:instrText>
          </w:r>
          <w:r>
            <w:fldChar w:fldCharType="separate"/>
          </w:r>
          <w:r>
            <w:t>46</w:t>
          </w:r>
          <w:r>
            <w:fldChar w:fldCharType="end"/>
          </w:r>
          <w:r>
            <w:fldChar w:fldCharType="end"/>
          </w:r>
        </w:p>
        <w:p>
          <w:pPr>
            <w:pStyle w:val="15"/>
            <w:tabs>
              <w:tab w:val="right" w:leader="dot" w:pos="8834"/>
            </w:tabs>
            <w:ind w:left="640" w:firstLine="640"/>
            <w:rPr>
              <w:rFonts w:asciiTheme="minorHAnsi" w:hAnsiTheme="minorHAnsi" w:eastAsiaTheme="minorEastAsia"/>
              <w:sz w:val="21"/>
              <w:szCs w:val="22"/>
            </w:rPr>
          </w:pPr>
          <w:r>
            <w:fldChar w:fldCharType="begin"/>
          </w:r>
          <w:r>
            <w:instrText xml:space="preserve"> HYPERLINK \l "_Toc157760736" </w:instrText>
          </w:r>
          <w:r>
            <w:fldChar w:fldCharType="separate"/>
          </w:r>
          <w:r>
            <w:rPr>
              <w:rStyle w:val="23"/>
              <w:rFonts w:hint="eastAsia" w:ascii="方正楷体简体" w:hAnsi="黑体" w:eastAsia="方正楷体简体" w:cs="Times New Roman"/>
            </w:rPr>
            <w:t>第三节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强化资金保障</w:t>
          </w:r>
          <w:r>
            <w:tab/>
          </w:r>
          <w:r>
            <w:fldChar w:fldCharType="begin"/>
          </w:r>
          <w:r>
            <w:instrText xml:space="preserve"> PAGEREF _Toc157760736 \h </w:instrText>
          </w:r>
          <w:r>
            <w:fldChar w:fldCharType="separate"/>
          </w:r>
          <w:r>
            <w:t>47</w:t>
          </w:r>
          <w:r>
            <w:fldChar w:fldCharType="end"/>
          </w:r>
          <w:r>
            <w:fldChar w:fldCharType="end"/>
          </w:r>
        </w:p>
        <w:p>
          <w:pPr>
            <w:pStyle w:val="15"/>
            <w:tabs>
              <w:tab w:val="right" w:leader="dot" w:pos="8834"/>
            </w:tabs>
            <w:ind w:left="640" w:firstLine="640"/>
            <w:rPr>
              <w:rFonts w:asciiTheme="minorHAnsi" w:hAnsiTheme="minorHAnsi" w:eastAsiaTheme="minorEastAsia"/>
              <w:sz w:val="21"/>
              <w:szCs w:val="22"/>
            </w:rPr>
          </w:pPr>
          <w:r>
            <w:fldChar w:fldCharType="begin"/>
          </w:r>
          <w:r>
            <w:instrText xml:space="preserve"> HYPERLINK \l "_Toc157760737" </w:instrText>
          </w:r>
          <w:r>
            <w:fldChar w:fldCharType="separate"/>
          </w:r>
          <w:r>
            <w:rPr>
              <w:rStyle w:val="23"/>
              <w:rFonts w:hint="eastAsia" w:ascii="方正楷体简体" w:hAnsi="黑体" w:eastAsia="方正楷体简体" w:cs="Times New Roman"/>
            </w:rPr>
            <w:t>第四节</w:t>
          </w:r>
          <w:r>
            <w:rPr>
              <w:rStyle w:val="23"/>
              <w:rFonts w:ascii="方正楷体简体" w:hAnsi="黑体" w:eastAsia="方正楷体简体" w:cs="Times New Roman"/>
            </w:rPr>
            <w:t xml:space="preserve"> </w:t>
          </w:r>
          <w:r>
            <w:rPr>
              <w:rStyle w:val="23"/>
              <w:rFonts w:hint="eastAsia" w:ascii="方正楷体简体" w:hAnsi="黑体" w:eastAsia="方正楷体简体" w:cs="Times New Roman"/>
            </w:rPr>
            <w:t>强化评估考核</w:t>
          </w:r>
          <w:r>
            <w:tab/>
          </w:r>
          <w:r>
            <w:fldChar w:fldCharType="begin"/>
          </w:r>
          <w:r>
            <w:instrText xml:space="preserve"> PAGEREF _Toc157760737 \h </w:instrText>
          </w:r>
          <w:r>
            <w:fldChar w:fldCharType="separate"/>
          </w:r>
          <w:r>
            <w:t>47</w:t>
          </w:r>
          <w:r>
            <w:fldChar w:fldCharType="end"/>
          </w:r>
          <w:r>
            <w:fldChar w:fldCharType="end"/>
          </w:r>
        </w:p>
        <w:p>
          <w:pPr>
            <w:pStyle w:val="13"/>
            <w:tabs>
              <w:tab w:val="right" w:leader="dot" w:pos="8834"/>
            </w:tabs>
            <w:ind w:firstLine="592"/>
            <w:rPr>
              <w:rFonts w:asciiTheme="minorHAnsi" w:hAnsiTheme="minorHAnsi" w:eastAsiaTheme="minorEastAsia"/>
              <w:sz w:val="21"/>
              <w:szCs w:val="22"/>
            </w:rPr>
          </w:pPr>
          <w:r>
            <w:rPr>
              <w:rStyle w:val="23"/>
              <w:rFonts w:ascii="黑体" w:hAnsi="黑体" w:eastAsia="黑体" w:cs="Times New Roman"/>
              <w:color w:val="auto"/>
              <w:spacing w:val="-12"/>
              <w:u w:val="none"/>
            </w:rPr>
            <w:t>附件</w:t>
          </w:r>
          <w:r>
            <w:rPr>
              <w:rStyle w:val="23"/>
              <w:rFonts w:hint="eastAsia" w:ascii="黑体" w:hAnsi="黑体" w:eastAsia="黑体" w:cs="Times New Roman"/>
              <w:color w:val="auto"/>
              <w:spacing w:val="-20"/>
              <w:u w:val="none"/>
            </w:rPr>
            <w:t xml:space="preserve"> </w:t>
          </w:r>
          <w:r>
            <w:fldChar w:fldCharType="begin"/>
          </w:r>
          <w:r>
            <w:instrText xml:space="preserve"> HYPERLINK \l "_Toc157760739" </w:instrText>
          </w:r>
          <w:r>
            <w:fldChar w:fldCharType="separate"/>
          </w:r>
          <w:r>
            <w:rPr>
              <w:rStyle w:val="23"/>
              <w:rFonts w:hint="eastAsia" w:ascii="黑体" w:hAnsi="黑体" w:eastAsia="黑体" w:cs="Times New Roman"/>
              <w:spacing w:val="-12"/>
            </w:rPr>
            <w:t>阳江市阳东区生态环境保护“十四五”规划重点项目</w:t>
          </w:r>
          <w:r>
            <w:tab/>
          </w:r>
          <w:r>
            <w:fldChar w:fldCharType="begin"/>
          </w:r>
          <w:r>
            <w:instrText xml:space="preserve"> PAGEREF _Toc157760739 \h </w:instrText>
          </w:r>
          <w:r>
            <w:fldChar w:fldCharType="separate"/>
          </w:r>
          <w:r>
            <w:t>48</w:t>
          </w:r>
          <w:r>
            <w:fldChar w:fldCharType="end"/>
          </w:r>
          <w:r>
            <w:fldChar w:fldCharType="end"/>
          </w:r>
        </w:p>
        <w:p>
          <w:pPr>
            <w:ind w:firstLine="643"/>
          </w:pPr>
          <w:r>
            <w:rPr>
              <w:b/>
              <w:bCs/>
              <w:lang w:val="zh-CN"/>
            </w:rPr>
            <w:fldChar w:fldCharType="end"/>
          </w:r>
        </w:p>
      </w:sdtContent>
    </w:sdt>
    <w:p>
      <w:pPr>
        <w:pStyle w:val="13"/>
        <w:tabs>
          <w:tab w:val="right" w:leader="dot" w:pos="8845"/>
        </w:tabs>
        <w:ind w:firstLine="640"/>
        <w:rPr>
          <w:rFonts w:eastAsia="黑体" w:cs="Times New Roman"/>
        </w:rPr>
        <w:sectPr>
          <w:headerReference r:id="rId5" w:type="default"/>
          <w:footerReference r:id="rId6" w:type="default"/>
          <w:pgSz w:w="11906" w:h="16838"/>
          <w:pgMar w:top="1814" w:right="1531" w:bottom="1814" w:left="1531" w:header="851" w:footer="992" w:gutter="0"/>
          <w:pgNumType w:fmt="upperRoman" w:start="1"/>
          <w:cols w:space="425" w:num="1"/>
          <w:docGrid w:type="lines" w:linePitch="312" w:charSpace="0"/>
        </w:sectPr>
      </w:pPr>
    </w:p>
    <w:p>
      <w:pPr>
        <w:spacing w:line="570" w:lineRule="exact"/>
        <w:ind w:firstLine="640"/>
        <w:rPr>
          <w:rFonts w:eastAsia="方正仿宋简体" w:cs="Times New Roman"/>
        </w:rPr>
      </w:pPr>
      <w:bookmarkStart w:id="0" w:name="_Toc21306"/>
      <w:bookmarkStart w:id="1" w:name="_Toc12137"/>
      <w:r>
        <w:rPr>
          <w:rFonts w:eastAsia="方正仿宋简体" w:cs="Times New Roman"/>
        </w:rPr>
        <w:t>本规划根据习近平生态文明思想和习近平总书记对广东重要讲话、重要指示精神以及省、市、区相关政策文件编制，紧紧围绕市委</w:t>
      </w:r>
      <w:r>
        <w:rPr>
          <w:rFonts w:hint="eastAsia" w:eastAsia="方正仿宋简体" w:cs="Times New Roman"/>
        </w:rPr>
        <w:t>“433”</w:t>
      </w:r>
      <w:r>
        <w:rPr>
          <w:rFonts w:eastAsia="方正仿宋简体" w:cs="Times New Roman"/>
        </w:rPr>
        <w:t>工作安排和区委</w:t>
      </w:r>
      <w:r>
        <w:rPr>
          <w:rFonts w:hint="eastAsia" w:eastAsia="方正仿宋简体" w:cs="Times New Roman"/>
        </w:rPr>
        <w:t>“</w:t>
      </w:r>
      <w:r>
        <w:rPr>
          <w:rFonts w:eastAsia="方正仿宋简体" w:cs="Times New Roman"/>
        </w:rPr>
        <w:t>1+3个3</w:t>
      </w:r>
      <w:r>
        <w:rPr>
          <w:rFonts w:hint="eastAsia" w:eastAsia="方正仿宋简体" w:cs="Times New Roman"/>
        </w:rPr>
        <w:t>”</w:t>
      </w:r>
      <w:r>
        <w:rPr>
          <w:rFonts w:eastAsia="方正仿宋简体" w:cs="Times New Roman"/>
        </w:rPr>
        <w:t>工作思路，对标阳东区打造</w:t>
      </w:r>
      <w:r>
        <w:rPr>
          <w:rFonts w:hint="eastAsia" w:eastAsia="方正仿宋简体" w:cs="Times New Roman"/>
        </w:rPr>
        <w:t>阳江高质量发展先行区要求</w:t>
      </w:r>
      <w:r>
        <w:rPr>
          <w:rFonts w:eastAsia="方正仿宋简体" w:cs="Times New Roman"/>
        </w:rPr>
        <w:t>，全面推进生态环境高水平保护和经济社会高质量发展，深入打好污染防治攻坚战，合理确定阳东区</w:t>
      </w:r>
      <w:r>
        <w:rPr>
          <w:rFonts w:hint="eastAsia" w:eastAsia="方正仿宋简体" w:cs="Times New Roman"/>
        </w:rPr>
        <w:t>“十四五”</w:t>
      </w:r>
      <w:r>
        <w:rPr>
          <w:rFonts w:eastAsia="方正仿宋简体" w:cs="Times New Roman"/>
        </w:rPr>
        <w:t>时期生态环境保护规划目标，科学谋划生态环境保护工作，是</w:t>
      </w:r>
      <w:r>
        <w:rPr>
          <w:rFonts w:hint="eastAsia" w:ascii="方正仿宋简体" w:eastAsia="方正仿宋简体" w:cs="Times New Roman"/>
        </w:rPr>
        <w:t>“十四五”</w:t>
      </w:r>
      <w:r>
        <w:rPr>
          <w:rFonts w:eastAsia="方正仿宋简体" w:cs="Times New Roman"/>
        </w:rPr>
        <w:t>时期统筹推进区域生态环境保护工作的重要依据和行动指南。</w:t>
      </w:r>
    </w:p>
    <w:p>
      <w:pPr>
        <w:pStyle w:val="2"/>
        <w:spacing w:line="570" w:lineRule="exact"/>
        <w:ind w:firstLine="640"/>
        <w:rPr>
          <w:rFonts w:eastAsia="方正仿宋简体"/>
          <w:sz w:val="32"/>
        </w:rPr>
      </w:pPr>
    </w:p>
    <w:p>
      <w:pPr>
        <w:pStyle w:val="3"/>
        <w:numPr>
          <w:ilvl w:val="0"/>
          <w:numId w:val="1"/>
        </w:numPr>
        <w:rPr>
          <w:rFonts w:ascii="方正小标宋简体" w:eastAsia="方正小标宋简体" w:cs="Times New Roman"/>
        </w:rPr>
      </w:pPr>
      <w:bookmarkStart w:id="2" w:name="_Toc157760699"/>
      <w:bookmarkStart w:id="3" w:name="_Toc20560"/>
      <w:r>
        <w:rPr>
          <w:rFonts w:hint="eastAsia" w:ascii="方正小标宋简体" w:eastAsia="方正小标宋简体" w:cs="Times New Roman"/>
        </w:rPr>
        <w:t>背景与形势</w:t>
      </w:r>
      <w:bookmarkEnd w:id="0"/>
      <w:bookmarkEnd w:id="1"/>
      <w:bookmarkEnd w:id="2"/>
      <w:bookmarkEnd w:id="3"/>
    </w:p>
    <w:p>
      <w:pPr>
        <w:ind w:firstLine="640"/>
      </w:pPr>
    </w:p>
    <w:p>
      <w:pPr>
        <w:spacing w:line="570" w:lineRule="exact"/>
        <w:ind w:firstLine="640"/>
        <w:rPr>
          <w:rFonts w:eastAsia="方正仿宋简体" w:cs="Times New Roman"/>
        </w:rPr>
      </w:pPr>
      <w:r>
        <w:rPr>
          <w:rFonts w:hint="eastAsia" w:ascii="方正仿宋简体" w:eastAsia="方正仿宋简体" w:cs="Times New Roman"/>
        </w:rPr>
        <w:t>“十三五”</w:t>
      </w:r>
      <w:r>
        <w:rPr>
          <w:rFonts w:eastAsia="方正仿宋简体" w:cs="Times New Roman"/>
        </w:rPr>
        <w:t>时期，阳东区坚持以习近平生态文明思想为指导，深入贯彻落实习近平总书记对广东系列重要讲话和重要指示精神，落实省委、省政府和市委、市政府部署要求，进一步压实生态环境保护责任，全力实施污染防治攻坚战三年行动计划，推进大气、水、土壤、固体废物污染防治，生态环境保护工作取得明显成效，但对标阳江打造沿海经济带重要战略支点、宜居宜业宜游现代化滨海城市的先行区仍存在差</w:t>
      </w:r>
      <w:r>
        <w:rPr>
          <w:rFonts w:hint="eastAsia" w:ascii="方正仿宋简体" w:eastAsia="方正仿宋简体" w:cs="Times New Roman"/>
        </w:rPr>
        <w:t>距。“十四五”时期，是协同推进高质量发展和生态环境高水平保护的重要机遇期，是生态环境质量巩固提升、现代环境治理体系加快构建的重要时期，阳东区须认清形势、抓住机遇，统筹谋划全区“十四五”</w:t>
      </w:r>
      <w:r>
        <w:rPr>
          <w:rFonts w:eastAsia="方正仿宋简体" w:cs="Times New Roman"/>
        </w:rPr>
        <w:t>生态环境保护工作，开启深入打好污染防治攻坚战新篇章。</w:t>
      </w:r>
    </w:p>
    <w:p>
      <w:pPr>
        <w:pStyle w:val="4"/>
        <w:spacing w:before="0" w:beforeLines="0"/>
        <w:rPr>
          <w:rFonts w:ascii="黑体" w:hAnsi="黑体" w:eastAsia="黑体" w:cs="Times New Roman"/>
        </w:rPr>
      </w:pPr>
      <w:bookmarkStart w:id="4" w:name="_Toc31956"/>
      <w:bookmarkStart w:id="5" w:name="_Toc157760700"/>
      <w:bookmarkStart w:id="6" w:name="_Toc31943"/>
      <w:bookmarkStart w:id="7" w:name="_Toc5388"/>
      <w:bookmarkStart w:id="8" w:name="_Toc23560"/>
      <w:bookmarkStart w:id="9" w:name="_Toc17797"/>
      <w:bookmarkStart w:id="10" w:name="_Toc32185"/>
      <w:bookmarkStart w:id="11" w:name="_Toc20793"/>
      <w:r>
        <w:rPr>
          <w:rFonts w:hint="eastAsia" w:ascii="黑体" w:hAnsi="黑体" w:eastAsia="黑体" w:cs="Times New Roman"/>
        </w:rPr>
        <w:t>第一节 “十三五”生态环境保护工作取得明显成效</w:t>
      </w:r>
      <w:bookmarkEnd w:id="4"/>
      <w:bookmarkEnd w:id="5"/>
    </w:p>
    <w:p>
      <w:pPr>
        <w:ind w:firstLine="640"/>
      </w:pPr>
    </w:p>
    <w:p>
      <w:pPr>
        <w:spacing w:line="570" w:lineRule="exact"/>
        <w:ind w:firstLine="640"/>
        <w:rPr>
          <w:rFonts w:eastAsia="方正仿宋简体" w:cs="Times New Roman"/>
        </w:rPr>
      </w:pPr>
      <w:r>
        <w:rPr>
          <w:rFonts w:hint="eastAsia" w:ascii="方正楷体简体" w:eastAsia="方正楷体简体" w:cs="Times New Roman"/>
        </w:rPr>
        <w:t>（一）全力打好污染防治攻坚战，维护优良生态环境质量。</w:t>
      </w:r>
      <w:r>
        <w:rPr>
          <w:rFonts w:eastAsia="方正楷体简体" w:cs="Times New Roman"/>
        </w:rPr>
        <w:t>2020</w:t>
      </w:r>
      <w:r>
        <w:rPr>
          <w:rFonts w:hint="eastAsia" w:ascii="方正楷体简体" w:eastAsia="方正楷体简体" w:cs="Times New Roman"/>
        </w:rPr>
        <w:t>年，</w:t>
      </w:r>
      <w:r>
        <w:rPr>
          <w:rFonts w:eastAsia="方正仿宋简体" w:cs="Times New Roman"/>
        </w:rPr>
        <w:t>阳东区空气质量全面达标，空气质量优良天数比例为94.1%，完成了市下达的93%目标任务；二氧化硫、二氧化氮、可吸入颗粒物年均浓度和一氧化碳第95百分位数平均值分别为8微克/立方米、14微克/立方米、34微克/立方米和1毫克/立方米，均达到国家环境空气质量一级标准；细颗粒物年均浓度和臭氧日最大8小时均值第90百分位数平均值分别为22微克/立方米和136微克/立方米，均达到国家环境空气质量二级标准。水环境质量保持优良，北惯桥县级以上集中式饮用水水源地水质达到Ⅲ类标准，其他8个镇级饮用水水源地水质达到Ⅲ类或以上标准，全区饮用水水源水质达标率为100%；那龙河尖山断面和寿长河断面水质平均值为Ⅲ类，国考断面水质优良（达到或优于Ⅲ类）比例为100%。全区土壤环境风险得到有效控制，安全风险低，固体废物污染防治有序推进。</w:t>
      </w:r>
      <w:r>
        <w:rPr>
          <w:rFonts w:hint="eastAsia" w:eastAsia="方正仿宋简体" w:cs="Times New Roman"/>
        </w:rPr>
        <w:t>城区</w:t>
      </w:r>
      <w:r>
        <w:rPr>
          <w:rFonts w:eastAsia="方正仿宋简体" w:cs="Times New Roman"/>
        </w:rPr>
        <w:t>环境噪声维持较好水平，昼间平均等效声级为56.7分贝，道路交通噪声昼间平均等效声级均值为69.8分贝。</w:t>
      </w:r>
    </w:p>
    <w:p>
      <w:pPr>
        <w:spacing w:line="570" w:lineRule="exact"/>
        <w:ind w:firstLine="640"/>
        <w:rPr>
          <w:rFonts w:eastAsia="方正仿宋简体" w:cs="Times New Roman"/>
        </w:rPr>
      </w:pPr>
      <w:r>
        <w:rPr>
          <w:rFonts w:eastAsia="方正楷体简体" w:cs="Times New Roman"/>
        </w:rPr>
        <w:t>（二）贯彻落实新发展理念，推进形成绿色发展方式。</w:t>
      </w:r>
      <w:r>
        <w:rPr>
          <w:rFonts w:eastAsia="方正仿宋简体" w:cs="Times New Roman"/>
        </w:rPr>
        <w:t>抓好清洁生产工作，除4家企业停产之外，共有23家企业通过了清洁生产审核和验收。开展</w:t>
      </w:r>
      <w:r>
        <w:rPr>
          <w:rFonts w:hint="eastAsia" w:ascii="方正仿宋简体" w:eastAsia="方正仿宋简体" w:cs="Times New Roman"/>
        </w:rPr>
        <w:t>“散乱污”</w:t>
      </w:r>
      <w:r>
        <w:rPr>
          <w:rFonts w:eastAsia="方正仿宋简体" w:cs="Times New Roman"/>
        </w:rPr>
        <w:t>工业企业（场所）综合整治，共整治105家企业，其中关停取缔企业82家，整合搬迁企业19家，升级改造企业4家。全面清查钢铁行业落后产能和违法违规项目。清洁能源产业发展迅猛，阳江核电站总装机容量651.6万千瓦时，2019年6台机组全部建成投产，2020年全年总发电量453亿千瓦时；新建成风电项目共7个，总装机容量97.75万千瓦时；全区已建成光伏发电项目12万千瓦时。</w:t>
      </w:r>
    </w:p>
    <w:p>
      <w:pPr>
        <w:spacing w:line="570" w:lineRule="exact"/>
        <w:ind w:firstLine="640"/>
        <w:rPr>
          <w:rFonts w:eastAsia="楷体_GB2312" w:cs="Times New Roman"/>
        </w:rPr>
      </w:pPr>
      <w:r>
        <w:rPr>
          <w:rFonts w:eastAsia="方正楷体简体" w:cs="Times New Roman"/>
        </w:rPr>
        <w:t>（三）加强污染排放管控，系统开展环境治理。</w:t>
      </w:r>
      <w:r>
        <w:rPr>
          <w:rFonts w:eastAsia="方正仿宋简体" w:cs="Times New Roman"/>
        </w:rPr>
        <w:t>在大气污染治理方面，划定高污染燃料禁燃区，完成高污染燃料禁燃区内高污染燃料锅炉淘汰工作，完成生物质锅炉专项整治任务；全面开展挥发性有机物污染治理，切实跟进挥发性有机物</w:t>
      </w:r>
      <w:r>
        <w:rPr>
          <w:rFonts w:hint="eastAsia" w:ascii="方正仿宋简体" w:eastAsia="方正仿宋简体" w:cs="Times New Roman"/>
        </w:rPr>
        <w:t>“一企一策”</w:t>
      </w:r>
      <w:r>
        <w:rPr>
          <w:rFonts w:eastAsia="方正仿宋简体" w:cs="Times New Roman"/>
        </w:rPr>
        <w:t>工作，基本完成第一批挥发性有机物重点监管企业销号式整治；淘汰</w:t>
      </w:r>
      <w:r>
        <w:rPr>
          <w:rFonts w:hint="eastAsia" w:ascii="方正仿宋简体" w:eastAsia="方正仿宋简体" w:cs="Times New Roman"/>
        </w:rPr>
        <w:t>“黄标车”</w:t>
      </w:r>
      <w:r>
        <w:rPr>
          <w:rFonts w:eastAsia="方正仿宋简体" w:cs="Times New Roman"/>
        </w:rPr>
        <w:t>1331辆，强化用车大户、非道路移动源、油气回收系统和重点施工工地污染排放情况监测并督促整改。在水污染治理方面，抓好考核断面整治攻坚，编制实施那龙河尖山和寿长河考核断面水质达标攻坚整治方案，严格落实河流流域的水产养殖、畜禽养殖和入河排污口整治工作；全区实现城镇污水处理设施全覆盖，建成区污水处理厂、开发区污水处理厂纳污范围覆盖东城、北惯和开发区，东平、合山生活污水处理厂已建成并投入运行，雅韶、大沟、那龙、塘坪和大八</w:t>
      </w:r>
      <w:r>
        <w:rPr>
          <w:rFonts w:hint="eastAsia" w:eastAsia="方正仿宋简体" w:cs="Times New Roman"/>
        </w:rPr>
        <w:t>5</w:t>
      </w:r>
      <w:r>
        <w:rPr>
          <w:rFonts w:eastAsia="方正仿宋简体" w:cs="Times New Roman"/>
        </w:rPr>
        <w:t>个镇的人工湿地已完成整改并正常运行，红丰镇污水输送至城北污水处理厂处理。在土壤和固体废物污染防治方面，依托广东省固体废物管理信息平台对产废企业进行系统管理，完成了全区土壤污染状况调查和调查对象的空间信息整合，建立了30家（不含2个工业园区）的</w:t>
      </w:r>
      <w:r>
        <w:rPr>
          <w:rFonts w:hint="eastAsia" w:ascii="方正仿宋简体" w:eastAsia="方正仿宋简体" w:cs="Times New Roman"/>
        </w:rPr>
        <w:t>“一企一档”</w:t>
      </w:r>
      <w:r>
        <w:rPr>
          <w:rFonts w:eastAsia="方正仿宋简体" w:cs="Times New Roman"/>
        </w:rPr>
        <w:t>。在农村环境整治方面，以</w:t>
      </w:r>
      <w:r>
        <w:rPr>
          <w:rFonts w:hint="eastAsia" w:ascii="方正仿宋简体" w:eastAsia="方正仿宋简体" w:cs="Times New Roman"/>
        </w:rPr>
        <w:t>“以奖促治”</w:t>
      </w:r>
      <w:r>
        <w:rPr>
          <w:rFonts w:eastAsia="方正仿宋简体" w:cs="Times New Roman"/>
        </w:rPr>
        <w:t>政策为契机，结</w:t>
      </w:r>
      <w:r>
        <w:rPr>
          <w:rFonts w:hint="eastAsia" w:ascii="方正仿宋简体" w:eastAsia="方正仿宋简体" w:cs="Times New Roman"/>
        </w:rPr>
        <w:t>合“三清理、三拆除、三整治”</w:t>
      </w:r>
      <w:r>
        <w:rPr>
          <w:rFonts w:eastAsia="方正仿宋简体" w:cs="Times New Roman"/>
        </w:rPr>
        <w:t>，开展村庄连片整治，80%的村庄达到</w:t>
      </w:r>
      <w:r>
        <w:rPr>
          <w:rFonts w:hint="eastAsia" w:ascii="方正仿宋简体" w:eastAsia="方正仿宋简体" w:cs="Times New Roman"/>
        </w:rPr>
        <w:t>“干净整洁”</w:t>
      </w:r>
      <w:r>
        <w:rPr>
          <w:rFonts w:eastAsia="方正仿宋简体" w:cs="Times New Roman"/>
        </w:rPr>
        <w:t>标准，50多个村达到美丽宜居标准，17个村达到特色精品村标准。</w:t>
      </w:r>
    </w:p>
    <w:p>
      <w:pPr>
        <w:spacing w:line="570" w:lineRule="exact"/>
        <w:ind w:firstLine="640"/>
        <w:rPr>
          <w:rFonts w:eastAsia="方正仿宋简体" w:cs="Times New Roman"/>
        </w:rPr>
      </w:pPr>
      <w:r>
        <w:rPr>
          <w:rFonts w:hint="eastAsia" w:eastAsia="方正楷体简体" w:cs="Times New Roman"/>
        </w:rPr>
        <w:t>（</w:t>
      </w:r>
      <w:r>
        <w:rPr>
          <w:rFonts w:eastAsia="方正楷体简体" w:cs="Times New Roman"/>
        </w:rPr>
        <w:t>四）重点抓好环保督察整改事项，切实解决突出生态环境问题。</w:t>
      </w:r>
      <w:r>
        <w:rPr>
          <w:rFonts w:eastAsia="方正仿宋简体" w:cs="Times New Roman"/>
        </w:rPr>
        <w:t>按照中央和省环保督察反馈意见，将环保督察作为一项重要的政治任务和全面推动生态环保工作的重要抓手，编制并实施了《阳江市阳东区贯彻落实中央第四环境保护督察组反馈意见整改方案》《阳江市阳东区贯彻落实中央环境保护督察</w:t>
      </w:r>
      <w:r>
        <w:rPr>
          <w:rFonts w:hint="eastAsia" w:ascii="方正仿宋简体" w:eastAsia="方正仿宋简体" w:cs="Times New Roman"/>
        </w:rPr>
        <w:t>“回头看”</w:t>
      </w:r>
      <w:r>
        <w:rPr>
          <w:rFonts w:eastAsia="方正仿宋简体" w:cs="Times New Roman"/>
        </w:rPr>
        <w:t>及固体废物环境问题专项督察反馈意见暨省级环境保护督察反馈意见整改方案》，指导整改工作落实，组织各镇政府、有关单位按照要求，齐心协力推进环保督察整改工作落实。2016年以来，对环境保护督察反馈意见共50项整改内容进行整改，环保督察整改工作取得了突破性进展。</w:t>
      </w:r>
    </w:p>
    <w:p>
      <w:pPr>
        <w:spacing w:line="570" w:lineRule="exact"/>
        <w:ind w:firstLine="640"/>
        <w:rPr>
          <w:rFonts w:eastAsia="方正仿宋简体" w:cs="Times New Roman"/>
        </w:rPr>
      </w:pPr>
      <w:r>
        <w:rPr>
          <w:rFonts w:eastAsia="方正楷体简体" w:cs="Times New Roman"/>
        </w:rPr>
        <w:t>（五）落实环保责任考核，严格环境监管执法。</w:t>
      </w:r>
      <w:r>
        <w:rPr>
          <w:rFonts w:eastAsia="方正仿宋简体" w:cs="Times New Roman"/>
        </w:rPr>
        <w:t>抓好市对区、区对镇的环境保护责任考核工作，及时调度收集相关工作完成情况。进一步强化对水污染防治攻坚战的组织领导，按照精细化整治要求，落实责任到区直有关责任单位和属地镇，严格落实主体责任。根据省、市要求，做好排污许可核发工作，截至2020年12月30日，全区已完成排污许可登记企业共3006家。加强对大型畜禽养殖、污水处理等易引发环境信访的行业排查，着重排查环评手续、污染物防治设施、污染物达标排放等方面，对存在隐患的坚决责令整改，整改不到位则立案处罚，并及时对信访投诉案件进行回复。2020年，共收到290余件次投诉，投诉处理率和办结率均为100%。加大对企业的执法监管力度，2020年累计出动生态环境执法人员5048人次，检查企业1737家次，下达责令改正环境行为通知书59份，立案处罚14宗，责令停产整治企业35家，查封环境违法企业10家，处罚金额40.01万元。</w:t>
      </w:r>
    </w:p>
    <w:p>
      <w:pPr>
        <w:spacing w:line="570" w:lineRule="exact"/>
        <w:ind w:firstLine="640"/>
        <w:rPr>
          <w:rFonts w:eastAsia="方正仿宋简体" w:cs="Times New Roman"/>
          <w:color w:val="000000" w:themeColor="text1"/>
          <w14:textFill>
            <w14:solidFill>
              <w14:schemeClr w14:val="tx1"/>
            </w14:solidFill>
          </w14:textFill>
        </w:rPr>
      </w:pPr>
      <w:r>
        <w:rPr>
          <w:rFonts w:eastAsia="方正仿宋简体" w:cs="Times New Roman"/>
        </w:rPr>
        <w:t>从目标指标来看，全区环境保护及生态建设</w:t>
      </w:r>
      <w:r>
        <w:rPr>
          <w:rFonts w:hint="eastAsia" w:ascii="方正仿宋简体" w:eastAsia="方正仿宋简体" w:cs="Times New Roman"/>
        </w:rPr>
        <w:t>“十三五”</w:t>
      </w:r>
      <w:r>
        <w:rPr>
          <w:rFonts w:eastAsia="方正仿宋简体" w:cs="Times New Roman"/>
        </w:rPr>
        <w:t>规划目标完成情况较好。共设置了21项指标</w:t>
      </w:r>
      <w:r>
        <w:rPr>
          <w:rFonts w:eastAsia="方正仿宋简体" w:cs="Times New Roman"/>
          <w:color w:val="000000" w:themeColor="text1"/>
          <w14:textFill>
            <w14:solidFill>
              <w14:schemeClr w14:val="tx1"/>
            </w14:solidFill>
          </w14:textFill>
        </w:rPr>
        <w:t>，除了总氮排放量减少和挥发性有机物排放总量减少指标因上级未下达考核任务以及自然保护区陆域面积占比因统计口径发生变化不纳入评估外，其余18项指标均达到</w:t>
      </w:r>
      <w:r>
        <w:rPr>
          <w:rFonts w:hint="eastAsia" w:ascii="方正仿宋简体" w:eastAsia="方正仿宋简体" w:cs="Times New Roman"/>
          <w:color w:val="000000" w:themeColor="text1"/>
          <w14:textFill>
            <w14:solidFill>
              <w14:schemeClr w14:val="tx1"/>
            </w14:solidFill>
          </w14:textFill>
        </w:rPr>
        <w:t>“十三五”</w:t>
      </w:r>
      <w:r>
        <w:rPr>
          <w:rFonts w:eastAsia="方正仿宋简体" w:cs="Times New Roman"/>
          <w:color w:val="000000" w:themeColor="text1"/>
          <w14:textFill>
            <w14:solidFill>
              <w14:schemeClr w14:val="tx1"/>
            </w14:solidFill>
          </w14:textFill>
        </w:rPr>
        <w:t>规划目标值，指标完成率为100%。</w:t>
      </w:r>
    </w:p>
    <w:p>
      <w:pPr>
        <w:pStyle w:val="2"/>
        <w:ind w:firstLine="480"/>
      </w:pPr>
    </w:p>
    <w:p>
      <w:pPr>
        <w:pStyle w:val="8"/>
        <w:ind w:firstLine="0" w:firstLineChars="0"/>
        <w:jc w:val="center"/>
        <w:rPr>
          <w:rFonts w:ascii="方正小标宋简体" w:hAnsi="黑体" w:eastAsia="方正小标宋简体" w:cs="Times New Roman"/>
          <w:sz w:val="28"/>
          <w:szCs w:val="28"/>
        </w:rPr>
      </w:pPr>
      <w:r>
        <w:rPr>
          <w:rFonts w:hint="eastAsia" w:ascii="方正小标宋简体" w:hAnsi="黑体" w:eastAsia="方正小标宋简体" w:cs="Times New Roman"/>
          <w:sz w:val="28"/>
          <w:szCs w:val="28"/>
        </w:rPr>
        <w:t>表1 阳东区环境保护及生态建设“十三五”规划目标完成情况</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2300"/>
        <w:gridCol w:w="1510"/>
        <w:gridCol w:w="1818"/>
        <w:gridCol w:w="1201"/>
        <w:gridCol w:w="15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395" w:type="pct"/>
            <w:vAlign w:val="center"/>
          </w:tcPr>
          <w:p>
            <w:pPr>
              <w:spacing w:line="300" w:lineRule="exact"/>
              <w:ind w:firstLine="0" w:firstLineChars="0"/>
              <w:jc w:val="center"/>
              <w:rPr>
                <w:rFonts w:ascii="黑体" w:hAnsi="黑体" w:eastAsia="黑体" w:cs="Times New Roman"/>
                <w:sz w:val="24"/>
              </w:rPr>
            </w:pPr>
            <w:r>
              <w:rPr>
                <w:rFonts w:ascii="黑体" w:hAnsi="黑体" w:eastAsia="黑体" w:cs="Times New Roman"/>
                <w:sz w:val="24"/>
              </w:rPr>
              <w:t>序号</w:t>
            </w:r>
          </w:p>
        </w:tc>
        <w:tc>
          <w:tcPr>
            <w:tcW w:w="1270" w:type="pct"/>
            <w:vAlign w:val="center"/>
          </w:tcPr>
          <w:p>
            <w:pPr>
              <w:spacing w:line="300" w:lineRule="exact"/>
              <w:ind w:firstLine="0" w:firstLineChars="0"/>
              <w:jc w:val="center"/>
              <w:rPr>
                <w:rFonts w:ascii="黑体" w:hAnsi="黑体" w:eastAsia="黑体" w:cs="Times New Roman"/>
                <w:sz w:val="24"/>
              </w:rPr>
            </w:pPr>
            <w:r>
              <w:rPr>
                <w:rFonts w:ascii="黑体" w:hAnsi="黑体" w:eastAsia="黑体" w:cs="Times New Roman"/>
                <w:sz w:val="24"/>
              </w:rPr>
              <w:t>项目</w:t>
            </w:r>
          </w:p>
        </w:tc>
        <w:tc>
          <w:tcPr>
            <w:tcW w:w="834" w:type="pct"/>
            <w:vAlign w:val="center"/>
          </w:tcPr>
          <w:p>
            <w:pPr>
              <w:spacing w:line="300" w:lineRule="exact"/>
              <w:ind w:firstLine="0" w:firstLineChars="0"/>
              <w:jc w:val="center"/>
              <w:rPr>
                <w:rFonts w:ascii="黑体" w:hAnsi="黑体" w:eastAsia="黑体" w:cs="Times New Roman"/>
                <w:sz w:val="24"/>
              </w:rPr>
            </w:pPr>
            <w:r>
              <w:rPr>
                <w:rFonts w:ascii="黑体" w:hAnsi="黑体" w:eastAsia="黑体" w:cs="Times New Roman"/>
                <w:sz w:val="24"/>
              </w:rPr>
              <w:t>“十三五”规划目标</w:t>
            </w:r>
          </w:p>
        </w:tc>
        <w:tc>
          <w:tcPr>
            <w:tcW w:w="1004" w:type="pct"/>
            <w:vAlign w:val="center"/>
          </w:tcPr>
          <w:p>
            <w:pPr>
              <w:spacing w:line="300" w:lineRule="exact"/>
              <w:ind w:firstLine="0" w:firstLineChars="0"/>
              <w:jc w:val="center"/>
              <w:rPr>
                <w:rFonts w:ascii="黑体" w:hAnsi="黑体" w:eastAsia="黑体" w:cs="Times New Roman"/>
                <w:sz w:val="24"/>
              </w:rPr>
            </w:pPr>
            <w:r>
              <w:rPr>
                <w:rFonts w:ascii="黑体" w:hAnsi="黑体" w:eastAsia="黑体" w:cs="Times New Roman"/>
                <w:sz w:val="24"/>
              </w:rPr>
              <w:t>2020年现状值</w:t>
            </w:r>
          </w:p>
        </w:tc>
        <w:tc>
          <w:tcPr>
            <w:tcW w:w="663" w:type="pct"/>
            <w:vAlign w:val="center"/>
          </w:tcPr>
          <w:p>
            <w:pPr>
              <w:spacing w:line="300" w:lineRule="exact"/>
              <w:ind w:firstLine="0" w:firstLineChars="0"/>
              <w:jc w:val="center"/>
              <w:rPr>
                <w:rFonts w:ascii="黑体" w:hAnsi="黑体" w:eastAsia="黑体" w:cs="Times New Roman"/>
                <w:sz w:val="24"/>
              </w:rPr>
            </w:pPr>
            <w:r>
              <w:rPr>
                <w:rFonts w:ascii="黑体" w:hAnsi="黑体" w:eastAsia="黑体" w:cs="Times New Roman"/>
                <w:sz w:val="24"/>
              </w:rPr>
              <w:t>是否完成</w:t>
            </w:r>
          </w:p>
        </w:tc>
        <w:tc>
          <w:tcPr>
            <w:tcW w:w="834" w:type="pct"/>
            <w:vAlign w:val="center"/>
          </w:tcPr>
          <w:p>
            <w:pPr>
              <w:spacing w:line="300" w:lineRule="exact"/>
              <w:ind w:firstLine="0" w:firstLineChars="0"/>
              <w:jc w:val="center"/>
              <w:rPr>
                <w:rFonts w:ascii="黑体" w:hAnsi="黑体" w:eastAsia="黑体" w:cs="Times New Roman"/>
                <w:sz w:val="24"/>
              </w:rPr>
            </w:pPr>
            <w:r>
              <w:rPr>
                <w:rFonts w:ascii="黑体" w:hAnsi="黑体" w:eastAsia="黑体" w:cs="Times New Roman"/>
                <w:sz w:val="24"/>
              </w:rPr>
              <w:t>指标属性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城市空气质量优良天数比例（%）</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≥92.5</w:t>
            </w:r>
          </w:p>
        </w:tc>
        <w:tc>
          <w:tcPr>
            <w:tcW w:w="100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94.1</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2</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PM</w:t>
            </w:r>
            <w:r>
              <w:rPr>
                <w:rFonts w:eastAsia="方正仿宋简体" w:cs="Times New Roman"/>
                <w:sz w:val="24"/>
                <w:vertAlign w:val="subscript"/>
              </w:rPr>
              <w:t>2.5</w:t>
            </w:r>
            <w:r>
              <w:rPr>
                <w:rFonts w:eastAsia="方正仿宋简体" w:cs="Times New Roman"/>
                <w:sz w:val="24"/>
              </w:rPr>
              <w:t>年均浓度（μg/m</w:t>
            </w:r>
            <w:r>
              <w:rPr>
                <w:rFonts w:eastAsia="方正仿宋简体" w:cs="Times New Roman"/>
                <w:sz w:val="24"/>
                <w:vertAlign w:val="superscript"/>
              </w:rPr>
              <w:t>3</w:t>
            </w:r>
            <w:r>
              <w:rPr>
                <w:rFonts w:eastAsia="方正仿宋简体" w:cs="Times New Roman"/>
                <w:sz w:val="24"/>
              </w:rPr>
              <w:t>）</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≤32</w:t>
            </w:r>
          </w:p>
        </w:tc>
        <w:tc>
          <w:tcPr>
            <w:tcW w:w="100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22</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3</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PM</w:t>
            </w:r>
            <w:r>
              <w:rPr>
                <w:rFonts w:eastAsia="方正仿宋简体" w:cs="Times New Roman"/>
                <w:sz w:val="24"/>
                <w:vertAlign w:val="subscript"/>
              </w:rPr>
              <w:t>10</w:t>
            </w:r>
            <w:r>
              <w:rPr>
                <w:rFonts w:eastAsia="方正仿宋简体" w:cs="Times New Roman"/>
                <w:sz w:val="24"/>
              </w:rPr>
              <w:t>年均浓度（μg/m</w:t>
            </w:r>
            <w:r>
              <w:rPr>
                <w:rFonts w:eastAsia="方正仿宋简体" w:cs="Times New Roman"/>
                <w:sz w:val="24"/>
                <w:vertAlign w:val="superscript"/>
              </w:rPr>
              <w:t>3</w:t>
            </w:r>
            <w:r>
              <w:rPr>
                <w:rFonts w:eastAsia="方正仿宋简体" w:cs="Times New Roman"/>
                <w:sz w:val="24"/>
              </w:rPr>
              <w:t>）</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≤48</w:t>
            </w:r>
          </w:p>
        </w:tc>
        <w:tc>
          <w:tcPr>
            <w:tcW w:w="100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34</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4</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县级以上集中式饮用水源水质达标率（%）</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100</w:t>
            </w:r>
          </w:p>
        </w:tc>
        <w:tc>
          <w:tcPr>
            <w:tcW w:w="100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100</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5</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地表水水质优良（达到或优于Ⅲ类）比例（%）</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100</w:t>
            </w:r>
          </w:p>
        </w:tc>
        <w:tc>
          <w:tcPr>
            <w:tcW w:w="100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100</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trPr>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6</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地表水丧失使用功能（劣于Ⅴ类）水体断面比例（%）</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0</w:t>
            </w:r>
          </w:p>
        </w:tc>
        <w:tc>
          <w:tcPr>
            <w:tcW w:w="100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0</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7</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城市建成区黑臭水体比例（%）</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0</w:t>
            </w:r>
          </w:p>
        </w:tc>
        <w:tc>
          <w:tcPr>
            <w:tcW w:w="100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0</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trPr>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8</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近岸海域环境功能区水质达标率（%）</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100</w:t>
            </w:r>
          </w:p>
        </w:tc>
        <w:tc>
          <w:tcPr>
            <w:tcW w:w="1004" w:type="pct"/>
            <w:vAlign w:val="center"/>
          </w:tcPr>
          <w:p>
            <w:pPr>
              <w:spacing w:line="300" w:lineRule="exact"/>
              <w:ind w:firstLine="0" w:firstLineChars="0"/>
              <w:jc w:val="center"/>
              <w:rPr>
                <w:rFonts w:eastAsia="方正仿宋简体" w:cs="Times New Roman"/>
                <w:color w:val="000000" w:themeColor="text1"/>
                <w:sz w:val="24"/>
                <w14:textFill>
                  <w14:solidFill>
                    <w14:schemeClr w14:val="tx1"/>
                  </w14:solidFill>
                </w14:textFill>
              </w:rPr>
            </w:pPr>
            <w:r>
              <w:rPr>
                <w:rFonts w:eastAsia="方正仿宋简体" w:cs="Times New Roman"/>
                <w:color w:val="000000" w:themeColor="text1"/>
                <w:sz w:val="24"/>
                <w14:textFill>
                  <w14:solidFill>
                    <w14:schemeClr w14:val="tx1"/>
                  </w14:solidFill>
                </w14:textFill>
              </w:rPr>
              <w:t>100</w:t>
            </w:r>
          </w:p>
        </w:tc>
        <w:tc>
          <w:tcPr>
            <w:tcW w:w="663" w:type="pct"/>
            <w:vAlign w:val="center"/>
          </w:tcPr>
          <w:p>
            <w:pPr>
              <w:spacing w:line="300" w:lineRule="exact"/>
              <w:ind w:firstLine="0" w:firstLineChars="0"/>
              <w:jc w:val="center"/>
              <w:rPr>
                <w:rFonts w:eastAsia="方正仿宋简体" w:cs="Times New Roman"/>
                <w:color w:val="FF0000"/>
                <w:sz w:val="24"/>
                <w:highlight w:val="yellow"/>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color w:val="FF0000"/>
                <w:sz w:val="24"/>
              </w:rPr>
            </w:pPr>
            <w:r>
              <w:rPr>
                <w:rFonts w:eastAsia="方正仿宋简体" w:cs="Times New Roman"/>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9</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受污染耕地安全利用率（%）</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≥90</w:t>
            </w:r>
          </w:p>
        </w:tc>
        <w:tc>
          <w:tcPr>
            <w:tcW w:w="1004" w:type="pct"/>
            <w:vAlign w:val="center"/>
          </w:tcPr>
          <w:p>
            <w:pPr>
              <w:spacing w:line="300" w:lineRule="exact"/>
              <w:ind w:firstLine="0" w:firstLineChars="0"/>
              <w:jc w:val="center"/>
              <w:rPr>
                <w:rFonts w:eastAsia="方正仿宋简体" w:cs="Times New Roman"/>
                <w:color w:val="000000" w:themeColor="text1"/>
                <w:sz w:val="24"/>
                <w14:textFill>
                  <w14:solidFill>
                    <w14:schemeClr w14:val="tx1"/>
                  </w14:solidFill>
                </w14:textFill>
              </w:rPr>
            </w:pPr>
            <w:r>
              <w:rPr>
                <w:rFonts w:eastAsia="方正仿宋简体" w:cs="Times New Roman"/>
                <w:color w:val="000000" w:themeColor="text1"/>
                <w:sz w:val="24"/>
                <w14:textFill>
                  <w14:solidFill>
                    <w14:schemeClr w14:val="tx1"/>
                  </w14:solidFill>
                </w14:textFill>
              </w:rPr>
              <w:t>100</w:t>
            </w:r>
          </w:p>
        </w:tc>
        <w:tc>
          <w:tcPr>
            <w:tcW w:w="663" w:type="pct"/>
            <w:vAlign w:val="center"/>
          </w:tcPr>
          <w:p>
            <w:pPr>
              <w:spacing w:line="300" w:lineRule="exact"/>
              <w:ind w:firstLine="0" w:firstLineChars="0"/>
              <w:jc w:val="center"/>
              <w:rPr>
                <w:rFonts w:eastAsia="方正仿宋简体" w:cs="Times New Roman"/>
                <w:sz w:val="24"/>
                <w:highlight w:val="yellow"/>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10</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污染地块安全利用率（%）</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≥90</w:t>
            </w:r>
          </w:p>
        </w:tc>
        <w:tc>
          <w:tcPr>
            <w:tcW w:w="100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100</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11</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自然保护区陆域面积占比（%）</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≥0.88</w:t>
            </w:r>
          </w:p>
        </w:tc>
        <w:tc>
          <w:tcPr>
            <w:tcW w:w="100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统计口径变化</w:t>
            </w:r>
            <w:r>
              <w:rPr>
                <w:rStyle w:val="25"/>
                <w:rFonts w:eastAsia="方正仿宋简体" w:cs="Times New Roman"/>
                <w:sz w:val="24"/>
              </w:rPr>
              <w:footnoteReference w:id="0"/>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12</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化学需氧量排放量减少（%）</w:t>
            </w:r>
          </w:p>
        </w:tc>
        <w:tc>
          <w:tcPr>
            <w:tcW w:w="834" w:type="pct"/>
            <w:vMerge w:val="restart"/>
            <w:vAlign w:val="center"/>
          </w:tcPr>
          <w:p>
            <w:pPr>
              <w:spacing w:line="300" w:lineRule="exact"/>
              <w:ind w:firstLine="0" w:firstLineChars="0"/>
              <w:jc w:val="center"/>
              <w:rPr>
                <w:rFonts w:eastAsia="方正仿宋简体" w:cs="Times New Roman"/>
                <w:sz w:val="24"/>
              </w:rPr>
            </w:pPr>
            <w:r>
              <w:rPr>
                <w:rFonts w:eastAsia="方正仿宋简体" w:cs="Times New Roman"/>
                <w:sz w:val="24"/>
              </w:rPr>
              <w:t>控制在广东省和阳江市下达的指标内</w:t>
            </w:r>
          </w:p>
        </w:tc>
        <w:tc>
          <w:tcPr>
            <w:tcW w:w="1004" w:type="pct"/>
            <w:vAlign w:val="center"/>
          </w:tcPr>
          <w:p>
            <w:pPr>
              <w:spacing w:line="300" w:lineRule="exact"/>
              <w:ind w:firstLine="0" w:firstLineChars="0"/>
              <w:jc w:val="center"/>
              <w:rPr>
                <w:rFonts w:eastAsia="方正仿宋简体" w:cs="Times New Roman"/>
                <w:color w:val="000000" w:themeColor="text1"/>
                <w:sz w:val="24"/>
                <w14:textFill>
                  <w14:solidFill>
                    <w14:schemeClr w14:val="tx1"/>
                  </w14:solidFill>
                </w14:textFill>
              </w:rPr>
            </w:pPr>
            <w:r>
              <w:rPr>
                <w:rFonts w:eastAsia="方正仿宋简体" w:cs="Times New Roman"/>
                <w:color w:val="000000" w:themeColor="text1"/>
                <w:sz w:val="24"/>
                <w14:textFill>
                  <w14:solidFill>
                    <w14:schemeClr w14:val="tx1"/>
                  </w14:solidFill>
                </w14:textFill>
              </w:rPr>
              <w:t>7.0</w:t>
            </w:r>
          </w:p>
        </w:tc>
        <w:tc>
          <w:tcPr>
            <w:tcW w:w="663" w:type="pct"/>
            <w:vAlign w:val="center"/>
          </w:tcPr>
          <w:p>
            <w:pPr>
              <w:spacing w:line="300" w:lineRule="exact"/>
              <w:ind w:firstLine="0" w:firstLineChars="0"/>
              <w:jc w:val="center"/>
              <w:rPr>
                <w:rFonts w:eastAsia="方正仿宋简体" w:cs="Times New Roman"/>
                <w:sz w:val="24"/>
                <w:highlight w:val="yellow"/>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13</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氨氮排放量减少（%）</w:t>
            </w:r>
          </w:p>
        </w:tc>
        <w:tc>
          <w:tcPr>
            <w:tcW w:w="834" w:type="pct"/>
            <w:vMerge w:val="continue"/>
            <w:vAlign w:val="center"/>
          </w:tcPr>
          <w:p>
            <w:pPr>
              <w:spacing w:line="300" w:lineRule="exact"/>
              <w:ind w:firstLine="0" w:firstLineChars="0"/>
              <w:jc w:val="center"/>
              <w:rPr>
                <w:rFonts w:eastAsia="方正仿宋简体" w:cs="Times New Roman"/>
                <w:sz w:val="24"/>
                <w:highlight w:val="yellow"/>
              </w:rPr>
            </w:pPr>
          </w:p>
        </w:tc>
        <w:tc>
          <w:tcPr>
            <w:tcW w:w="1004" w:type="pct"/>
            <w:vAlign w:val="center"/>
          </w:tcPr>
          <w:p>
            <w:pPr>
              <w:spacing w:line="300" w:lineRule="exact"/>
              <w:ind w:firstLine="0" w:firstLineChars="0"/>
              <w:jc w:val="center"/>
              <w:rPr>
                <w:rFonts w:eastAsia="方正仿宋简体" w:cs="Times New Roman"/>
                <w:color w:val="000000" w:themeColor="text1"/>
                <w:sz w:val="24"/>
                <w14:textFill>
                  <w14:solidFill>
                    <w14:schemeClr w14:val="tx1"/>
                  </w14:solidFill>
                </w14:textFill>
              </w:rPr>
            </w:pPr>
            <w:r>
              <w:rPr>
                <w:rFonts w:eastAsia="方正仿宋简体" w:cs="Times New Roman"/>
                <w:color w:val="000000" w:themeColor="text1"/>
                <w:sz w:val="24"/>
                <w14:textFill>
                  <w14:solidFill>
                    <w14:schemeClr w14:val="tx1"/>
                  </w14:solidFill>
                </w14:textFill>
              </w:rPr>
              <w:t>17.5</w:t>
            </w:r>
          </w:p>
        </w:tc>
        <w:tc>
          <w:tcPr>
            <w:tcW w:w="663" w:type="pct"/>
            <w:vAlign w:val="center"/>
          </w:tcPr>
          <w:p>
            <w:pPr>
              <w:spacing w:line="300" w:lineRule="exact"/>
              <w:ind w:firstLine="0" w:firstLineChars="0"/>
              <w:jc w:val="center"/>
              <w:rPr>
                <w:rFonts w:eastAsia="方正仿宋简体" w:cs="Times New Roman"/>
                <w:sz w:val="24"/>
                <w:highlight w:val="yellow"/>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14</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二氧化硫排放量减少（%）</w:t>
            </w:r>
          </w:p>
        </w:tc>
        <w:tc>
          <w:tcPr>
            <w:tcW w:w="834" w:type="pct"/>
            <w:vMerge w:val="continue"/>
            <w:vAlign w:val="center"/>
          </w:tcPr>
          <w:p>
            <w:pPr>
              <w:spacing w:line="300" w:lineRule="exact"/>
              <w:ind w:firstLine="0" w:firstLineChars="0"/>
              <w:jc w:val="center"/>
              <w:rPr>
                <w:rFonts w:eastAsia="方正仿宋简体" w:cs="Times New Roman"/>
                <w:sz w:val="24"/>
                <w:highlight w:val="yellow"/>
              </w:rPr>
            </w:pPr>
          </w:p>
        </w:tc>
        <w:tc>
          <w:tcPr>
            <w:tcW w:w="1004" w:type="pct"/>
            <w:vAlign w:val="center"/>
          </w:tcPr>
          <w:p>
            <w:pPr>
              <w:spacing w:line="300" w:lineRule="exact"/>
              <w:ind w:firstLine="0" w:firstLineChars="0"/>
              <w:jc w:val="center"/>
              <w:rPr>
                <w:rFonts w:eastAsia="方正仿宋简体" w:cs="Times New Roman"/>
                <w:color w:val="000000" w:themeColor="text1"/>
                <w:sz w:val="24"/>
                <w14:textFill>
                  <w14:solidFill>
                    <w14:schemeClr w14:val="tx1"/>
                  </w14:solidFill>
                </w14:textFill>
              </w:rPr>
            </w:pPr>
            <w:r>
              <w:rPr>
                <w:rFonts w:eastAsia="方正仿宋简体" w:cs="Times New Roman"/>
                <w:color w:val="000000" w:themeColor="text1"/>
                <w:sz w:val="24"/>
                <w14:textFill>
                  <w14:solidFill>
                    <w14:schemeClr w14:val="tx1"/>
                  </w14:solidFill>
                </w14:textFill>
              </w:rPr>
              <w:t>0</w:t>
            </w:r>
          </w:p>
        </w:tc>
        <w:tc>
          <w:tcPr>
            <w:tcW w:w="663" w:type="pct"/>
            <w:vAlign w:val="center"/>
          </w:tcPr>
          <w:p>
            <w:pPr>
              <w:spacing w:line="300" w:lineRule="exact"/>
              <w:ind w:firstLine="0" w:firstLineChars="0"/>
              <w:jc w:val="center"/>
              <w:rPr>
                <w:rFonts w:eastAsia="方正仿宋简体" w:cs="Times New Roman"/>
                <w:sz w:val="24"/>
                <w:highlight w:val="yellow"/>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15</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氮氧化物排放量减少（%）</w:t>
            </w:r>
          </w:p>
        </w:tc>
        <w:tc>
          <w:tcPr>
            <w:tcW w:w="834" w:type="pct"/>
            <w:vMerge w:val="continue"/>
            <w:vAlign w:val="center"/>
          </w:tcPr>
          <w:p>
            <w:pPr>
              <w:spacing w:line="300" w:lineRule="exact"/>
              <w:ind w:firstLine="0" w:firstLineChars="0"/>
              <w:jc w:val="center"/>
              <w:rPr>
                <w:rFonts w:eastAsia="方正仿宋简体" w:cs="Times New Roman"/>
                <w:sz w:val="24"/>
                <w:highlight w:val="yellow"/>
              </w:rPr>
            </w:pPr>
          </w:p>
        </w:tc>
        <w:tc>
          <w:tcPr>
            <w:tcW w:w="1004" w:type="pct"/>
            <w:vAlign w:val="center"/>
          </w:tcPr>
          <w:p>
            <w:pPr>
              <w:spacing w:line="300" w:lineRule="exact"/>
              <w:ind w:firstLine="0" w:firstLineChars="0"/>
              <w:jc w:val="center"/>
              <w:rPr>
                <w:rFonts w:eastAsia="方正仿宋简体" w:cs="Times New Roman"/>
                <w:color w:val="000000" w:themeColor="text1"/>
                <w:sz w:val="24"/>
                <w14:textFill>
                  <w14:solidFill>
                    <w14:schemeClr w14:val="tx1"/>
                  </w14:solidFill>
                </w14:textFill>
              </w:rPr>
            </w:pPr>
            <w:r>
              <w:rPr>
                <w:rFonts w:eastAsia="方正仿宋简体" w:cs="Times New Roman"/>
                <w:color w:val="000000" w:themeColor="text1"/>
                <w:sz w:val="24"/>
                <w14:textFill>
                  <w14:solidFill>
                    <w14:schemeClr w14:val="tx1"/>
                  </w14:solidFill>
                </w14:textFill>
              </w:rPr>
              <w:t>0</w:t>
            </w:r>
          </w:p>
        </w:tc>
        <w:tc>
          <w:tcPr>
            <w:tcW w:w="663" w:type="pct"/>
            <w:vAlign w:val="center"/>
          </w:tcPr>
          <w:p>
            <w:pPr>
              <w:spacing w:line="300" w:lineRule="exact"/>
              <w:ind w:firstLine="0" w:firstLineChars="0"/>
              <w:jc w:val="center"/>
              <w:rPr>
                <w:rFonts w:eastAsia="方正仿宋简体" w:cs="Times New Roman"/>
                <w:sz w:val="24"/>
                <w:highlight w:val="yellow"/>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16</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总氮排放量减少（%）</w:t>
            </w:r>
          </w:p>
        </w:tc>
        <w:tc>
          <w:tcPr>
            <w:tcW w:w="834" w:type="pct"/>
            <w:vMerge w:val="continue"/>
            <w:vAlign w:val="center"/>
          </w:tcPr>
          <w:p>
            <w:pPr>
              <w:spacing w:line="300" w:lineRule="exact"/>
              <w:ind w:firstLine="0" w:firstLineChars="0"/>
              <w:jc w:val="center"/>
              <w:rPr>
                <w:rFonts w:eastAsia="方正仿宋简体" w:cs="Times New Roman"/>
                <w:sz w:val="24"/>
                <w:highlight w:val="yellow"/>
              </w:rPr>
            </w:pPr>
          </w:p>
        </w:tc>
        <w:tc>
          <w:tcPr>
            <w:tcW w:w="1004" w:type="pct"/>
            <w:vAlign w:val="center"/>
          </w:tcPr>
          <w:p>
            <w:pPr>
              <w:spacing w:line="300" w:lineRule="exact"/>
              <w:ind w:firstLine="0" w:firstLineChars="0"/>
              <w:jc w:val="center"/>
              <w:rPr>
                <w:rFonts w:eastAsia="方正仿宋简体" w:cs="Times New Roman"/>
                <w:color w:val="000000" w:themeColor="text1"/>
                <w:sz w:val="24"/>
                <w14:textFill>
                  <w14:solidFill>
                    <w14:schemeClr w14:val="tx1"/>
                  </w14:solidFill>
                </w14:textFill>
              </w:rPr>
            </w:pPr>
            <w:r>
              <w:rPr>
                <w:rFonts w:eastAsia="方正仿宋简体" w:cs="Times New Roman"/>
                <w:color w:val="000000" w:themeColor="text1"/>
                <w:sz w:val="24"/>
                <w14:textFill>
                  <w14:solidFill>
                    <w14:schemeClr w14:val="tx1"/>
                  </w14:solidFill>
                </w14:textFill>
              </w:rPr>
              <w:t>/</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市未下达目标值</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17</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挥发性有机物排放总量减少（%）</w:t>
            </w:r>
          </w:p>
        </w:tc>
        <w:tc>
          <w:tcPr>
            <w:tcW w:w="834" w:type="pct"/>
            <w:vMerge w:val="continue"/>
            <w:vAlign w:val="center"/>
          </w:tcPr>
          <w:p>
            <w:pPr>
              <w:spacing w:line="300" w:lineRule="exact"/>
              <w:ind w:firstLine="0" w:firstLineChars="0"/>
              <w:jc w:val="center"/>
              <w:rPr>
                <w:rFonts w:eastAsia="方正仿宋简体" w:cs="Times New Roman"/>
                <w:sz w:val="24"/>
                <w:highlight w:val="yellow"/>
              </w:rPr>
            </w:pPr>
          </w:p>
        </w:tc>
        <w:tc>
          <w:tcPr>
            <w:tcW w:w="1004" w:type="pct"/>
            <w:vAlign w:val="center"/>
          </w:tcPr>
          <w:p>
            <w:pPr>
              <w:spacing w:line="300" w:lineRule="exact"/>
              <w:ind w:firstLine="0" w:firstLineChars="0"/>
              <w:jc w:val="center"/>
              <w:rPr>
                <w:rFonts w:eastAsia="方正仿宋简体" w:cs="Times New Roman"/>
                <w:color w:val="000000" w:themeColor="text1"/>
                <w:sz w:val="24"/>
                <w14:textFill>
                  <w14:solidFill>
                    <w14:schemeClr w14:val="tx1"/>
                  </w14:solidFill>
                </w14:textFill>
              </w:rPr>
            </w:pPr>
            <w:r>
              <w:rPr>
                <w:rFonts w:eastAsia="方正仿宋简体" w:cs="Times New Roman"/>
                <w:color w:val="000000" w:themeColor="text1"/>
                <w:sz w:val="24"/>
                <w14:textFill>
                  <w14:solidFill>
                    <w14:schemeClr w14:val="tx1"/>
                  </w14:solidFill>
                </w14:textFill>
              </w:rPr>
              <w:t>/</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市未下达目标值</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18</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城镇生活污水处理率（%）</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≥95</w:t>
            </w:r>
          </w:p>
        </w:tc>
        <w:tc>
          <w:tcPr>
            <w:tcW w:w="100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96</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trPr>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19</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城镇生活垃圾无害化处理率（%）</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100</w:t>
            </w:r>
          </w:p>
        </w:tc>
        <w:tc>
          <w:tcPr>
            <w:tcW w:w="100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100</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20</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危险废物安全处置率（%）</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100</w:t>
            </w:r>
          </w:p>
        </w:tc>
        <w:tc>
          <w:tcPr>
            <w:tcW w:w="100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100</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395"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21</w:t>
            </w:r>
          </w:p>
        </w:tc>
        <w:tc>
          <w:tcPr>
            <w:tcW w:w="1270"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放射性废源安全处置率（%）</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100</w:t>
            </w:r>
          </w:p>
        </w:tc>
        <w:tc>
          <w:tcPr>
            <w:tcW w:w="100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100</w:t>
            </w:r>
          </w:p>
        </w:tc>
        <w:tc>
          <w:tcPr>
            <w:tcW w:w="663"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完成</w:t>
            </w:r>
          </w:p>
        </w:tc>
        <w:tc>
          <w:tcPr>
            <w:tcW w:w="834"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预期性</w:t>
            </w:r>
          </w:p>
        </w:tc>
      </w:tr>
    </w:tbl>
    <w:p>
      <w:pPr>
        <w:pStyle w:val="4"/>
        <w:spacing w:before="0" w:beforeLines="0"/>
        <w:rPr>
          <w:rFonts w:ascii="黑体" w:hAnsi="黑体" w:eastAsia="黑体" w:cs="Times New Roman"/>
        </w:rPr>
      </w:pPr>
      <w:bookmarkStart w:id="12" w:name="_Toc1658"/>
      <w:bookmarkStart w:id="13" w:name="_Toc31256"/>
      <w:bookmarkStart w:id="14" w:name="_Toc17326"/>
      <w:bookmarkStart w:id="15" w:name="_Toc13680"/>
      <w:bookmarkStart w:id="16" w:name="_Toc157760701"/>
      <w:r>
        <w:rPr>
          <w:rFonts w:ascii="黑体" w:hAnsi="黑体" w:eastAsia="黑体" w:cs="Times New Roman"/>
        </w:rPr>
        <w:t>第二节 生态环境保护仍面临短板和压力</w:t>
      </w:r>
      <w:bookmarkEnd w:id="12"/>
      <w:bookmarkEnd w:id="13"/>
      <w:bookmarkEnd w:id="14"/>
      <w:bookmarkEnd w:id="15"/>
      <w:bookmarkEnd w:id="16"/>
    </w:p>
    <w:p>
      <w:pPr>
        <w:ind w:firstLine="640"/>
      </w:pPr>
    </w:p>
    <w:p>
      <w:pPr>
        <w:spacing w:line="570" w:lineRule="exact"/>
        <w:ind w:firstLine="640"/>
        <w:rPr>
          <w:rFonts w:eastAsia="方正仿宋简体" w:cs="Times New Roman"/>
        </w:rPr>
      </w:pPr>
      <w:r>
        <w:rPr>
          <w:rFonts w:eastAsia="方正楷体简体" w:cs="Times New Roman"/>
        </w:rPr>
        <w:t>（一）生态环境质量持续改善的基础仍不牢固。</w:t>
      </w:r>
      <w:r>
        <w:rPr>
          <w:rFonts w:eastAsia="方正仿宋简体" w:cs="Times New Roman"/>
        </w:rPr>
        <w:t>空气质量整体有所好转，但是持续改善压力依然很大。臭氧和PM</w:t>
      </w:r>
      <w:r>
        <w:rPr>
          <w:rFonts w:eastAsia="方正仿宋简体" w:cs="Times New Roman"/>
          <w:vertAlign w:val="subscript"/>
        </w:rPr>
        <w:t>2.5</w:t>
      </w:r>
      <w:r>
        <w:rPr>
          <w:rFonts w:eastAsia="方正仿宋简体" w:cs="Times New Roman"/>
        </w:rPr>
        <w:t>已成为影响空气质量最主要的环境因子，挥发性有机物治理能力有待提高</w:t>
      </w:r>
      <w:r>
        <w:rPr>
          <w:rFonts w:hint="eastAsia" w:eastAsia="方正仿宋简体" w:cs="Times New Roman"/>
        </w:rPr>
        <w:t>，</w:t>
      </w:r>
      <w:r>
        <w:rPr>
          <w:rFonts w:eastAsia="方正仿宋简体" w:cs="Times New Roman"/>
        </w:rPr>
        <w:t>露天焚烧的现象仍时有发生。</w:t>
      </w:r>
      <w:r>
        <w:rPr>
          <w:rFonts w:hint="eastAsia" w:eastAsia="方正仿宋简体" w:cs="Times New Roman"/>
        </w:rPr>
        <w:t>地表水国考断面不稳定达标，</w:t>
      </w:r>
      <w:r>
        <w:rPr>
          <w:rFonts w:eastAsia="方正仿宋简体" w:cs="Times New Roman"/>
        </w:rPr>
        <w:t>少量村级河长断面出现劣V类水质，水污染防治形势依旧严峻。</w:t>
      </w:r>
    </w:p>
    <w:p>
      <w:pPr>
        <w:spacing w:line="570" w:lineRule="exact"/>
        <w:ind w:firstLine="640"/>
        <w:rPr>
          <w:rFonts w:eastAsia="方正仿宋简体" w:cs="Times New Roman"/>
        </w:rPr>
      </w:pPr>
      <w:r>
        <w:rPr>
          <w:rFonts w:eastAsia="方正楷体简体" w:cs="Times New Roman"/>
        </w:rPr>
        <w:t>（二）生态环境治理能力有待提升。</w:t>
      </w:r>
      <w:r>
        <w:rPr>
          <w:rFonts w:eastAsia="方正仿宋简体" w:cs="Times New Roman"/>
        </w:rPr>
        <w:t>污水处理基础设施和管网建设滞后，阳东经济开发区污水处理厂新建4万吨/天扩容工程</w:t>
      </w:r>
      <w:r>
        <w:rPr>
          <w:rFonts w:hint="eastAsia" w:eastAsia="方正仿宋简体" w:cs="Times New Roman"/>
        </w:rPr>
        <w:t>（二期工程）于2021年7月完工，滞后</w:t>
      </w:r>
      <w:r>
        <w:rPr>
          <w:rFonts w:eastAsia="方正仿宋简体" w:cs="Times New Roman"/>
        </w:rPr>
        <w:t>完成</w:t>
      </w:r>
      <w:r>
        <w:rPr>
          <w:rFonts w:hint="eastAsia" w:eastAsia="方正仿宋简体" w:cs="Times New Roman"/>
        </w:rPr>
        <w:t>建设</w:t>
      </w:r>
      <w:r>
        <w:rPr>
          <w:rFonts w:eastAsia="方正仿宋简体" w:cs="Times New Roman"/>
        </w:rPr>
        <w:t>，镇级</w:t>
      </w:r>
      <w:r>
        <w:rPr>
          <w:rFonts w:hint="eastAsia" w:eastAsia="方正仿宋简体" w:cs="Times New Roman"/>
        </w:rPr>
        <w:t>人工湿地及各镇区污水处理厂</w:t>
      </w:r>
      <w:r>
        <w:rPr>
          <w:rFonts w:eastAsia="方正仿宋简体" w:cs="Times New Roman"/>
        </w:rPr>
        <w:t>普遍存在污水收集率不高的问题。对工业企业的排污监管和综合整治力度有待强化，</w:t>
      </w:r>
      <w:r>
        <w:rPr>
          <w:rFonts w:hint="eastAsia" w:ascii="方正仿宋简体" w:eastAsia="方正仿宋简体" w:cs="Times New Roman"/>
        </w:rPr>
        <w:t>“散乱污”</w:t>
      </w:r>
      <w:r>
        <w:rPr>
          <w:rFonts w:eastAsia="方正仿宋简体" w:cs="Times New Roman"/>
        </w:rPr>
        <w:t>工业企业的后续监管力度仍需加强。畜禽养殖、水产养殖业配套治污设施不足，影响水环境和近岸海域环境质量。</w:t>
      </w:r>
    </w:p>
    <w:p>
      <w:pPr>
        <w:spacing w:line="570" w:lineRule="exact"/>
        <w:ind w:firstLine="640"/>
        <w:rPr>
          <w:rFonts w:eastAsia="方正仿宋简体" w:cs="Times New Roman"/>
        </w:rPr>
      </w:pPr>
      <w:r>
        <w:rPr>
          <w:rFonts w:eastAsia="方正楷体简体" w:cs="Times New Roman"/>
        </w:rPr>
        <w:t>（三）环境监管和执法能力建设有待加强。</w:t>
      </w:r>
      <w:r>
        <w:rPr>
          <w:rFonts w:eastAsia="方正仿宋简体" w:cs="Times New Roman"/>
        </w:rPr>
        <w:t>环境监察、执法、监测体系与上级的标准化建设要求还有一定的差距，仪器设备相对落后，信息化水平不高，与“互联网+”、卫星遥感、无人机等先进技术融合程度不够，执法、监测能力有待提升。区生态环境部门和</w:t>
      </w:r>
      <w:r>
        <w:rPr>
          <w:rFonts w:hint="eastAsia" w:eastAsia="方正仿宋简体" w:cs="Times New Roman"/>
        </w:rPr>
        <w:t>开发区、各</w:t>
      </w:r>
      <w:r>
        <w:rPr>
          <w:rFonts w:eastAsia="方正仿宋简体" w:cs="Times New Roman"/>
        </w:rPr>
        <w:t>镇环保机构的</w:t>
      </w:r>
      <w:r>
        <w:rPr>
          <w:rFonts w:hint="eastAsia" w:eastAsia="方正仿宋简体" w:cs="Times New Roman"/>
        </w:rPr>
        <w:t>能力建设有待</w:t>
      </w:r>
      <w:r>
        <w:rPr>
          <w:rFonts w:eastAsia="方正仿宋简体" w:cs="Times New Roman"/>
        </w:rPr>
        <w:t>进一步</w:t>
      </w:r>
      <w:r>
        <w:rPr>
          <w:rFonts w:hint="eastAsia" w:eastAsia="方正仿宋简体" w:cs="Times New Roman"/>
        </w:rPr>
        <w:t>加强</w:t>
      </w:r>
      <w:r>
        <w:rPr>
          <w:rFonts w:eastAsia="方正仿宋简体" w:cs="Times New Roman"/>
        </w:rPr>
        <w:t>，行政效率和服务质量也亟待提高。</w:t>
      </w:r>
    </w:p>
    <w:p>
      <w:pPr>
        <w:spacing w:line="570" w:lineRule="exact"/>
        <w:ind w:firstLine="640"/>
        <w:rPr>
          <w:rFonts w:eastAsia="方正仿宋简体" w:cs="Times New Roman"/>
        </w:rPr>
      </w:pPr>
      <w:r>
        <w:rPr>
          <w:rFonts w:eastAsia="方正楷体简体" w:cs="Times New Roman"/>
        </w:rPr>
        <w:t>（四）绿色发展转型压力进一步加大。</w:t>
      </w:r>
      <w:r>
        <w:rPr>
          <w:rFonts w:hint="eastAsia" w:eastAsia="方正仿宋简体" w:cs="Times New Roman"/>
        </w:rPr>
        <w:t>“十三五”</w:t>
      </w:r>
      <w:r>
        <w:rPr>
          <w:rFonts w:eastAsia="方正仿宋简体" w:cs="Times New Roman"/>
        </w:rPr>
        <w:t>期间，全区每年分配得到的土地资源供给份额十分有限，能耗总量强度也未能完成市下达指标任务。党的十八大以来，国家把生态环境保护、绿色低碳发展摆在了更加突出的地位，对资源环境的约束更加严格。随着全区工业化、城镇化的加速推进，资源能源对经济社会发展的约束将进一步趋紧，节能减排和环境保护治理的压力逐年增加。开发与保护的矛盾日益凸显，亟须通过绿色发展方式和生活方式的转变推动生态环境质量持续改善。</w:t>
      </w:r>
    </w:p>
    <w:p>
      <w:pPr>
        <w:pStyle w:val="2"/>
        <w:ind w:firstLine="480"/>
      </w:pPr>
    </w:p>
    <w:p>
      <w:pPr>
        <w:pStyle w:val="4"/>
        <w:spacing w:before="0" w:beforeLines="0"/>
        <w:rPr>
          <w:rFonts w:ascii="黑体" w:hAnsi="黑体" w:eastAsia="黑体" w:cs="Times New Roman"/>
        </w:rPr>
      </w:pPr>
      <w:bookmarkStart w:id="17" w:name="_Toc10499"/>
      <w:bookmarkStart w:id="18" w:name="_Toc157760702"/>
      <w:bookmarkStart w:id="19" w:name="_Toc13381"/>
      <w:bookmarkStart w:id="20" w:name="_Toc2342"/>
      <w:bookmarkStart w:id="21" w:name="_Toc32262"/>
      <w:r>
        <w:rPr>
          <w:rFonts w:ascii="黑体" w:hAnsi="黑体" w:eastAsia="黑体" w:cs="Times New Roman"/>
        </w:rPr>
        <w:t>第三节 “十四五”生态环境保护面临重要机遇</w:t>
      </w:r>
      <w:bookmarkEnd w:id="17"/>
      <w:bookmarkEnd w:id="18"/>
      <w:bookmarkEnd w:id="19"/>
      <w:bookmarkEnd w:id="20"/>
      <w:bookmarkEnd w:id="21"/>
    </w:p>
    <w:p>
      <w:pPr>
        <w:ind w:firstLine="640"/>
      </w:pPr>
    </w:p>
    <w:p>
      <w:pPr>
        <w:spacing w:line="570" w:lineRule="exact"/>
        <w:ind w:firstLine="640"/>
        <w:rPr>
          <w:rFonts w:eastAsia="方正仿宋简体" w:cs="Times New Roman"/>
        </w:rPr>
      </w:pPr>
      <w:r>
        <w:rPr>
          <w:rFonts w:eastAsia="方正楷体简体" w:cs="Times New Roman"/>
        </w:rPr>
        <w:t>（一）习近平生态文明思想深入贯彻，为生态环境保护工作提供根本遵循。</w:t>
      </w:r>
      <w:r>
        <w:rPr>
          <w:rFonts w:eastAsia="方正仿宋简体" w:cs="Times New Roman"/>
        </w:rPr>
        <w:t>党的十八大以来，以习近平同志为核心的党中央把生态文明建设作为关系人民福祉、关乎民族未来的大计，纳入中国特色社会主</w:t>
      </w:r>
      <w:r>
        <w:rPr>
          <w:rFonts w:hint="eastAsia" w:ascii="方正仿宋简体" w:eastAsia="方正仿宋简体" w:cs="Times New Roman"/>
        </w:rPr>
        <w:t>义“五位一体”总体布局和“四个全面”战</w:t>
      </w:r>
      <w:r>
        <w:rPr>
          <w:rFonts w:eastAsia="方正仿宋简体" w:cs="Times New Roman"/>
        </w:rPr>
        <w:t>略布局，载入党章和宪法。全国生态环境保护大会总结并阐述了习近平生态文明思想，习近平总书记提出了新时代推进生态文明建设必须坚持的六项重要原则：坚持人与自然和谐共生；绿水青山就是金山银山；良好生态环境是最普惠的民生福祉；山水林田湖草是生命共同体；用最严格制度最严密法治保护生态环境；共谋全球生态文明建设。</w:t>
      </w:r>
      <w:r>
        <w:rPr>
          <w:rFonts w:hint="eastAsia" w:ascii="方正仿宋简体" w:eastAsia="方正仿宋简体" w:cs="Times New Roman"/>
        </w:rPr>
        <w:t>“六项原则”</w:t>
      </w:r>
      <w:r>
        <w:rPr>
          <w:rFonts w:eastAsia="方正仿宋简体" w:cs="Times New Roman"/>
        </w:rPr>
        <w:t>为深入打好污染防治攻坚战、全面加强生态环境保护指明了方向，为阳东区建设阳江沿海经济带重要战略支点、宜居宜业宜游现代化滨海城市的先行区提供了指导思想和行为遵循。</w:t>
      </w:r>
    </w:p>
    <w:p>
      <w:pPr>
        <w:spacing w:line="570" w:lineRule="exact"/>
        <w:ind w:firstLine="640"/>
        <w:rPr>
          <w:rFonts w:eastAsia="方正仿宋简体" w:cs="Times New Roman"/>
        </w:rPr>
      </w:pPr>
      <w:r>
        <w:rPr>
          <w:rFonts w:eastAsia="方正楷体简体" w:cs="Times New Roman"/>
        </w:rPr>
        <w:t>（二）重大战略加速落实推进，为生态环境保护注入活力。</w:t>
      </w:r>
      <w:r>
        <w:rPr>
          <w:rFonts w:eastAsia="方正仿宋简体" w:cs="Times New Roman"/>
          <w:szCs w:val="32"/>
        </w:rPr>
        <w:t>碳达峰目标和碳中和愿景是党中央、国务院作出的重大战略决策，降碳成为引领绿色发展的总抓手，为区域产业、能源、交通等绿色低碳转型带来新机遇。同时，</w:t>
      </w:r>
      <w:r>
        <w:rPr>
          <w:rFonts w:eastAsia="方正仿宋简体" w:cs="Times New Roman"/>
        </w:rPr>
        <w:t>全省</w:t>
      </w:r>
      <w:r>
        <w:rPr>
          <w:rFonts w:hint="eastAsia" w:ascii="方正仿宋简体" w:eastAsia="方正仿宋简体" w:cs="Times New Roman"/>
        </w:rPr>
        <w:t>“双区”</w:t>
      </w:r>
      <w:r>
        <w:rPr>
          <w:rFonts w:eastAsia="方正仿宋简体" w:cs="Times New Roman"/>
        </w:rPr>
        <w:t>和横琴、前海两个合作区建设以及构建</w:t>
      </w:r>
      <w:r>
        <w:rPr>
          <w:rFonts w:hint="eastAsia" w:ascii="方正仿宋简体" w:eastAsia="方正仿宋简体" w:cs="Times New Roman"/>
        </w:rPr>
        <w:t>“一核一带一区”区域发展格局等重大机遇的大力推进，有助于阳东区从更高的站位、更大的格局、更广的视野出发，以全省“一核一带一区”</w:t>
      </w:r>
      <w:r>
        <w:rPr>
          <w:rFonts w:eastAsia="方正仿宋简体" w:cs="Times New Roman"/>
        </w:rPr>
        <w:t>布局中沿海经济带双支点的桥头堡和粤港澳大湾区向西辐射的重要承接点作为区域发展定位，高起点高标准严要求谋划高质量发展，对全区争当阳江沿海经济带重要战略支点、阳江宜居宜业宜游现代化滨海城市的先行区具有重要意义，也为生态环境保护注入了新活力。</w:t>
      </w:r>
    </w:p>
    <w:p>
      <w:pPr>
        <w:spacing w:line="570" w:lineRule="exact"/>
        <w:ind w:firstLine="640"/>
        <w:rPr>
          <w:rFonts w:eastAsia="方正仿宋简体" w:cs="Times New Roman"/>
        </w:rPr>
      </w:pPr>
      <w:r>
        <w:rPr>
          <w:rFonts w:eastAsia="方正楷体简体" w:cs="Times New Roman"/>
        </w:rPr>
        <w:t>（三）经济社会发展基础不断夯实，为生态环境保护提供保障。</w:t>
      </w:r>
      <w:r>
        <w:rPr>
          <w:rFonts w:hint="eastAsia" w:ascii="方正仿宋简体" w:eastAsia="方正仿宋简体" w:cs="Times New Roman"/>
        </w:rPr>
        <w:t>“十三五”</w:t>
      </w:r>
      <w:r>
        <w:rPr>
          <w:rFonts w:eastAsia="方正仿宋简体" w:cs="Times New Roman"/>
        </w:rPr>
        <w:t>以来，阳东区综合实力稳步提升，地区生产总值从2015年的275.69亿元增长到2020年的308.56亿元，年均增长4.5%；三大产业比例从2015年的15.1:62.4:22.5调整为2020年的20.2:48.3:31.5，城镇化率为51.5%。在经济实力逐步增强的同时，通过全面治污减排、完善基础设施，生态环境保护稳步推进，宜居城乡环境逐步形成。经济社会的稳步发展为生态环境质量持续改善奠定了良好基础，为生态文明建设持续推进保驾护航。</w:t>
      </w:r>
    </w:p>
    <w:p>
      <w:pPr>
        <w:pStyle w:val="2"/>
        <w:ind w:firstLine="480"/>
        <w:sectPr>
          <w:footerReference r:id="rId7" w:type="default"/>
          <w:pgSz w:w="11906" w:h="16838"/>
          <w:pgMar w:top="1814" w:right="1531" w:bottom="1814" w:left="1531" w:header="567" w:footer="1531" w:gutter="0"/>
          <w:pgNumType w:start="1"/>
          <w:cols w:space="425" w:num="1"/>
          <w:docGrid w:type="lines" w:linePitch="435" w:charSpace="0"/>
        </w:sectPr>
      </w:pPr>
    </w:p>
    <w:p>
      <w:pPr>
        <w:pStyle w:val="3"/>
        <w:numPr>
          <w:ilvl w:val="0"/>
          <w:numId w:val="1"/>
        </w:numPr>
        <w:rPr>
          <w:rFonts w:ascii="方正小标宋简体" w:hAnsi="黑体" w:eastAsia="方正小标宋简体" w:cs="Times New Roman"/>
        </w:rPr>
      </w:pPr>
      <w:bookmarkStart w:id="22" w:name="_Toc157760703"/>
      <w:bookmarkStart w:id="23" w:name="_Toc31423"/>
      <w:r>
        <w:rPr>
          <w:rFonts w:hint="eastAsia" w:ascii="方正小标宋简体" w:hAnsi="黑体" w:eastAsia="方正小标宋简体" w:cs="Times New Roman"/>
        </w:rPr>
        <w:t>总体要求</w:t>
      </w:r>
      <w:bookmarkEnd w:id="22"/>
      <w:bookmarkEnd w:id="23"/>
    </w:p>
    <w:p>
      <w:pPr>
        <w:spacing w:line="520" w:lineRule="exact"/>
        <w:ind w:firstLine="640"/>
      </w:pPr>
    </w:p>
    <w:p>
      <w:pPr>
        <w:spacing w:line="520" w:lineRule="exact"/>
        <w:ind w:firstLine="640"/>
        <w:rPr>
          <w:rFonts w:eastAsia="方正仿宋简体" w:cs="Times New Roman"/>
        </w:rPr>
      </w:pPr>
      <w:r>
        <w:rPr>
          <w:rFonts w:hint="eastAsia" w:eastAsia="方正仿宋简体" w:cs="Times New Roman"/>
        </w:rPr>
        <w:t>以</w:t>
      </w:r>
      <w:r>
        <w:rPr>
          <w:rFonts w:eastAsia="方正仿宋简体" w:cs="Times New Roman"/>
        </w:rPr>
        <w:t>打造阳江高质量发展先行区为总目标，立足新发展阶段，贯彻新发展理念，构建新发展格局，深入打好污染防治攻坚战，加速形成绿色低碳的生产生活方式，全面推进生态环境高水平保护和经济社会高质量发展，推动阳东区</w:t>
      </w:r>
      <w:r>
        <w:rPr>
          <w:rFonts w:hint="eastAsia" w:ascii="方正仿宋简体" w:eastAsia="方正仿宋简体" w:cs="Times New Roman"/>
        </w:rPr>
        <w:t>“十四五”</w:t>
      </w:r>
      <w:r>
        <w:rPr>
          <w:rFonts w:eastAsia="方正仿宋简体" w:cs="Times New Roman"/>
        </w:rPr>
        <w:t>生态环境保护迈上新台阶。</w:t>
      </w:r>
    </w:p>
    <w:p>
      <w:pPr>
        <w:pStyle w:val="4"/>
        <w:spacing w:before="0" w:beforeLines="0" w:line="520" w:lineRule="exact"/>
        <w:rPr>
          <w:rFonts w:ascii="黑体" w:hAnsi="黑体" w:eastAsia="黑体" w:cs="Times New Roman"/>
        </w:rPr>
      </w:pPr>
      <w:bookmarkStart w:id="24" w:name="_Toc157760704"/>
      <w:bookmarkStart w:id="25" w:name="_Toc17386"/>
      <w:bookmarkStart w:id="26" w:name="_Toc28617"/>
      <w:bookmarkStart w:id="27" w:name="_Toc19619"/>
      <w:bookmarkStart w:id="28" w:name="_Toc32187"/>
      <w:r>
        <w:rPr>
          <w:rFonts w:ascii="黑体" w:hAnsi="黑体" w:eastAsia="黑体" w:cs="Times New Roman"/>
        </w:rPr>
        <w:t>第一节 指导思想</w:t>
      </w:r>
      <w:bookmarkEnd w:id="24"/>
      <w:bookmarkEnd w:id="25"/>
      <w:bookmarkEnd w:id="26"/>
      <w:bookmarkEnd w:id="27"/>
      <w:bookmarkEnd w:id="28"/>
    </w:p>
    <w:p>
      <w:pPr>
        <w:spacing w:line="520" w:lineRule="exact"/>
        <w:ind w:firstLine="640"/>
      </w:pPr>
    </w:p>
    <w:p>
      <w:pPr>
        <w:spacing w:line="520" w:lineRule="exact"/>
        <w:ind w:firstLine="640"/>
        <w:rPr>
          <w:rFonts w:eastAsia="方正仿宋简体" w:cs="Times New Roman"/>
        </w:rPr>
      </w:pPr>
      <w:r>
        <w:rPr>
          <w:rFonts w:eastAsia="方正仿宋简体" w:cs="Times New Roman"/>
        </w:rPr>
        <w:t>以习近平新时代中国特色社会主义思想为指导，</w:t>
      </w:r>
      <w:r>
        <w:rPr>
          <w:rFonts w:hint="eastAsia" w:eastAsia="方正仿宋简体" w:cs="Times New Roman"/>
        </w:rPr>
        <w:t>全面</w:t>
      </w:r>
      <w:r>
        <w:rPr>
          <w:rFonts w:eastAsia="方正仿宋简体" w:cs="Times New Roman"/>
        </w:rPr>
        <w:t>贯彻</w:t>
      </w:r>
      <w:r>
        <w:rPr>
          <w:rFonts w:hint="eastAsia" w:eastAsia="方正仿宋简体" w:cs="Times New Roman"/>
        </w:rPr>
        <w:t>落实</w:t>
      </w:r>
      <w:r>
        <w:rPr>
          <w:rFonts w:eastAsia="方正仿宋简体" w:cs="Times New Roman"/>
        </w:rPr>
        <w:t>党的</w:t>
      </w:r>
      <w:r>
        <w:rPr>
          <w:rFonts w:hint="eastAsia" w:eastAsia="方正仿宋简体" w:cs="Times New Roman"/>
        </w:rPr>
        <w:t>二十</w:t>
      </w:r>
      <w:r>
        <w:rPr>
          <w:rFonts w:eastAsia="方正仿宋简体" w:cs="Times New Roman"/>
        </w:rPr>
        <w:t>大精神，</w:t>
      </w:r>
      <w:r>
        <w:rPr>
          <w:rFonts w:hint="eastAsia" w:eastAsia="方正仿宋简体" w:cs="Times New Roman"/>
        </w:rPr>
        <w:t>坚定践行</w:t>
      </w:r>
      <w:r>
        <w:rPr>
          <w:rFonts w:eastAsia="方正仿宋简体" w:cs="Times New Roman"/>
        </w:rPr>
        <w:t>习近平生态文明思想</w:t>
      </w:r>
      <w:r>
        <w:rPr>
          <w:rFonts w:hint="eastAsia" w:eastAsia="方正仿宋简体" w:cs="Times New Roman"/>
        </w:rPr>
        <w:t>，牢固树立“绿水青山就是金山银山”的发展理念，深入贯彻</w:t>
      </w:r>
      <w:r>
        <w:rPr>
          <w:rFonts w:eastAsia="方正仿宋简体" w:cs="Times New Roman"/>
        </w:rPr>
        <w:t>落实</w:t>
      </w:r>
      <w:r>
        <w:rPr>
          <w:rFonts w:hint="eastAsia" w:eastAsia="方正仿宋简体" w:cs="Times New Roman"/>
        </w:rPr>
        <w:t>习近平总书记对广东系列重要讲话、重要指示精神</w:t>
      </w:r>
      <w:r>
        <w:rPr>
          <w:rFonts w:eastAsia="方正仿宋简体" w:cs="Times New Roman"/>
        </w:rPr>
        <w:t>，按照</w:t>
      </w:r>
      <w:r>
        <w:rPr>
          <w:rFonts w:hint="eastAsia" w:eastAsia="方正仿宋简体" w:cs="Times New Roman"/>
        </w:rPr>
        <w:t>省委</w:t>
      </w:r>
      <w:r>
        <w:rPr>
          <w:rFonts w:hint="eastAsia" w:ascii="方正仿宋简体" w:eastAsia="方正仿宋简体" w:cs="Times New Roman"/>
        </w:rPr>
        <w:t>“</w:t>
      </w:r>
      <w:r>
        <w:rPr>
          <w:rFonts w:hint="eastAsia" w:eastAsia="方正仿宋简体" w:cs="Times New Roman"/>
        </w:rPr>
        <w:t>1310</w:t>
      </w:r>
      <w:r>
        <w:rPr>
          <w:rStyle w:val="25"/>
          <w:rFonts w:eastAsia="方正仿宋简体" w:cs="Times New Roman"/>
        </w:rPr>
        <w:footnoteReference w:id="1"/>
      </w:r>
      <w:r>
        <w:rPr>
          <w:rFonts w:hint="eastAsia" w:ascii="方正仿宋简体" w:eastAsia="方正仿宋简体" w:cs="Times New Roman"/>
        </w:rPr>
        <w:t>”</w:t>
      </w:r>
      <w:r>
        <w:rPr>
          <w:rFonts w:hint="eastAsia" w:eastAsia="方正仿宋简体" w:cs="Times New Roman"/>
        </w:rPr>
        <w:t>具体</w:t>
      </w:r>
      <w:r>
        <w:rPr>
          <w:rFonts w:eastAsia="方正仿宋简体" w:cs="Times New Roman"/>
        </w:rPr>
        <w:t>部署</w:t>
      </w:r>
      <w:r>
        <w:rPr>
          <w:rFonts w:hint="eastAsia" w:eastAsia="方正仿宋简体" w:cs="Times New Roman"/>
        </w:rPr>
        <w:t>、</w:t>
      </w:r>
      <w:r>
        <w:rPr>
          <w:rFonts w:eastAsia="方正仿宋简体" w:cs="Times New Roman"/>
        </w:rPr>
        <w:t>市委</w:t>
      </w:r>
      <w:r>
        <w:rPr>
          <w:rFonts w:hint="eastAsia" w:ascii="方正仿宋简体" w:eastAsia="方正仿宋简体" w:cs="Times New Roman"/>
        </w:rPr>
        <w:t>“</w:t>
      </w:r>
      <w:r>
        <w:rPr>
          <w:rFonts w:hint="eastAsia" w:eastAsia="方正仿宋简体" w:cs="Times New Roman"/>
        </w:rPr>
        <w:t>433</w:t>
      </w:r>
      <w:r>
        <w:rPr>
          <w:rStyle w:val="25"/>
          <w:rFonts w:eastAsia="方正仿宋简体" w:cs="Times New Roman"/>
        </w:rPr>
        <w:footnoteReference w:id="2"/>
      </w:r>
      <w:r>
        <w:rPr>
          <w:rFonts w:hint="eastAsia" w:ascii="方正仿宋简体" w:eastAsia="方正仿宋简体" w:cs="Times New Roman"/>
        </w:rPr>
        <w:t>”</w:t>
      </w:r>
      <w:r>
        <w:rPr>
          <w:rFonts w:eastAsia="方正仿宋简体" w:cs="Times New Roman"/>
        </w:rPr>
        <w:t>工作安排</w:t>
      </w:r>
      <w:r>
        <w:rPr>
          <w:rFonts w:hint="eastAsia" w:eastAsia="方正仿宋简体" w:cs="Times New Roman"/>
        </w:rPr>
        <w:t>，坚持</w:t>
      </w:r>
      <w:r>
        <w:rPr>
          <w:rFonts w:eastAsia="方正仿宋简体" w:cs="Times New Roman"/>
        </w:rPr>
        <w:t>区委</w:t>
      </w:r>
      <w:r>
        <w:rPr>
          <w:rFonts w:hint="eastAsia" w:ascii="方正仿宋简体" w:eastAsia="方正仿宋简体" w:cs="Times New Roman"/>
        </w:rPr>
        <w:t>“</w:t>
      </w:r>
      <w:r>
        <w:rPr>
          <w:rFonts w:eastAsia="方正仿宋简体" w:cs="Times New Roman"/>
        </w:rPr>
        <w:t>1+3个3</w:t>
      </w:r>
      <w:r>
        <w:rPr>
          <w:rStyle w:val="25"/>
          <w:rFonts w:eastAsia="方正仿宋简体" w:cs="Times New Roman"/>
        </w:rPr>
        <w:footnoteReference w:id="3"/>
      </w:r>
      <w:r>
        <w:rPr>
          <w:rFonts w:hint="eastAsia" w:ascii="方正仿宋简体" w:eastAsia="方正仿宋简体" w:cs="Times New Roman"/>
        </w:rPr>
        <w:t>”</w:t>
      </w:r>
      <w:r>
        <w:rPr>
          <w:rFonts w:eastAsia="方正仿宋简体" w:cs="Times New Roman"/>
        </w:rPr>
        <w:t>工作思路</w:t>
      </w:r>
      <w:r>
        <w:rPr>
          <w:rFonts w:hint="eastAsia" w:eastAsia="方正仿宋简体" w:cs="Times New Roman"/>
        </w:rPr>
        <w:t>，</w:t>
      </w:r>
      <w:r>
        <w:rPr>
          <w:rFonts w:eastAsia="方正仿宋简体" w:cs="Times New Roman"/>
        </w:rPr>
        <w:t>积极抢抓</w:t>
      </w:r>
      <w:r>
        <w:rPr>
          <w:rFonts w:hint="eastAsia" w:ascii="方正仿宋简体" w:eastAsia="方正仿宋简体" w:cs="Times New Roman"/>
        </w:rPr>
        <w:t>“双区”以及构建“一核一带一区”</w:t>
      </w:r>
      <w:r>
        <w:rPr>
          <w:rFonts w:hint="eastAsia" w:eastAsia="方正仿宋简体" w:cs="Times New Roman"/>
        </w:rPr>
        <w:t>布局</w:t>
      </w:r>
      <w:r>
        <w:rPr>
          <w:rFonts w:eastAsia="方正仿宋简体" w:cs="Times New Roman"/>
        </w:rPr>
        <w:t>等重大机遇，</w:t>
      </w:r>
      <w:r>
        <w:rPr>
          <w:rFonts w:hint="eastAsia" w:eastAsia="方正仿宋简体" w:cs="Times New Roman"/>
        </w:rPr>
        <w:t>以高水平保护推动高质量发展为主线</w:t>
      </w:r>
      <w:r>
        <w:rPr>
          <w:rFonts w:eastAsia="方正仿宋简体" w:cs="Times New Roman"/>
        </w:rPr>
        <w:t>，深入打好污染防治攻坚战，</w:t>
      </w:r>
      <w:r>
        <w:rPr>
          <w:rFonts w:hint="eastAsia" w:eastAsia="方正仿宋简体" w:cs="Times New Roman"/>
        </w:rPr>
        <w:t>扎实推动绿色低碳转型，加大生态保护修复力度，</w:t>
      </w:r>
      <w:r>
        <w:rPr>
          <w:rFonts w:eastAsia="方正仿宋简体" w:cs="Times New Roman"/>
        </w:rPr>
        <w:t>有效防范和降低环境风险，</w:t>
      </w:r>
      <w:r>
        <w:rPr>
          <w:rFonts w:hint="eastAsia" w:eastAsia="方正仿宋简体" w:cs="Times New Roman"/>
        </w:rPr>
        <w:t>加快</w:t>
      </w:r>
      <w:r>
        <w:rPr>
          <w:rFonts w:eastAsia="方正仿宋简体" w:cs="Times New Roman"/>
        </w:rPr>
        <w:t>推进环境治理体系和治理能力现代化，</w:t>
      </w:r>
      <w:r>
        <w:rPr>
          <w:rFonts w:hint="eastAsia" w:eastAsia="方正仿宋简体" w:cs="Times New Roman"/>
        </w:rPr>
        <w:t>全面构建</w:t>
      </w:r>
      <w:r>
        <w:rPr>
          <w:rFonts w:eastAsia="方正仿宋简体" w:cs="Times New Roman"/>
        </w:rPr>
        <w:t>绿色低碳的生产生活方式，为争当阳江打造成为沿海经济带的重要战略支点、宜居宜业宜游的现代化滨海城市的先行区奠定生态环境基础。</w:t>
      </w:r>
    </w:p>
    <w:p>
      <w:pPr>
        <w:pStyle w:val="2"/>
        <w:ind w:firstLine="480"/>
      </w:pPr>
    </w:p>
    <w:p>
      <w:pPr>
        <w:pStyle w:val="4"/>
        <w:spacing w:before="0" w:beforeLines="0" w:line="550" w:lineRule="exact"/>
        <w:rPr>
          <w:rFonts w:ascii="黑体" w:hAnsi="黑体" w:eastAsia="黑体" w:cs="Times New Roman"/>
        </w:rPr>
      </w:pPr>
      <w:bookmarkStart w:id="29" w:name="_Toc20250"/>
      <w:bookmarkStart w:id="30" w:name="_Toc157760705"/>
      <w:bookmarkStart w:id="31" w:name="_Toc14409"/>
      <w:bookmarkStart w:id="32" w:name="_Toc19191"/>
      <w:bookmarkStart w:id="33" w:name="_Toc14300"/>
      <w:r>
        <w:rPr>
          <w:rFonts w:ascii="黑体" w:hAnsi="黑体" w:eastAsia="黑体" w:cs="Times New Roman"/>
        </w:rPr>
        <w:t>第二节 基本原则</w:t>
      </w:r>
      <w:bookmarkEnd w:id="29"/>
      <w:bookmarkEnd w:id="30"/>
      <w:bookmarkEnd w:id="31"/>
      <w:bookmarkEnd w:id="32"/>
      <w:bookmarkEnd w:id="33"/>
    </w:p>
    <w:p>
      <w:pPr>
        <w:ind w:firstLine="640"/>
      </w:pPr>
    </w:p>
    <w:p>
      <w:pPr>
        <w:spacing w:line="550" w:lineRule="exact"/>
        <w:ind w:firstLine="640"/>
        <w:rPr>
          <w:rFonts w:eastAsia="方正仿宋简体" w:cs="Times New Roman"/>
        </w:rPr>
      </w:pPr>
      <w:r>
        <w:rPr>
          <w:rFonts w:eastAsia="方正楷体简体" w:cs="Times New Roman"/>
        </w:rPr>
        <w:t>坚持绿色引领，低碳发展。</w:t>
      </w:r>
      <w:r>
        <w:rPr>
          <w:rFonts w:hint="eastAsia" w:eastAsia="方正仿宋简体" w:cs="Times New Roman"/>
        </w:rPr>
        <w:t>要</w:t>
      </w:r>
      <w:r>
        <w:rPr>
          <w:rFonts w:eastAsia="方正仿宋简体" w:cs="Times New Roman"/>
        </w:rPr>
        <w:t>牢固树立绿水青山就是金山银山理念，坚持走生态优先、绿色发展之路，充分发挥生态环境保护对经济发展的优化促进作用，加快推动绿色低碳发展，全面推进生态环境高水平保护和经济社会高质量发展。</w:t>
      </w:r>
    </w:p>
    <w:p>
      <w:pPr>
        <w:spacing w:line="550" w:lineRule="exact"/>
        <w:ind w:firstLine="640"/>
        <w:rPr>
          <w:rFonts w:eastAsia="方正仿宋简体" w:cs="Times New Roman"/>
        </w:rPr>
      </w:pPr>
      <w:r>
        <w:rPr>
          <w:rFonts w:eastAsia="方正楷体简体" w:cs="Times New Roman"/>
        </w:rPr>
        <w:t>坚持质量核心，系统治理。</w:t>
      </w:r>
      <w:r>
        <w:rPr>
          <w:rFonts w:eastAsia="方正仿宋简体" w:cs="Times New Roman"/>
        </w:rPr>
        <w:t>以改善生态环境质量为核心，着力解决人民群众身边的生态环境问题，坚持精准治污、科学治污、依法治污，加强综合治理系统性和整体性，协同推进环境治理、生态修复和应对气候变化，强化城乡统筹、区域统筹，实现环境质量全面提升。</w:t>
      </w:r>
    </w:p>
    <w:p>
      <w:pPr>
        <w:spacing w:line="550" w:lineRule="exact"/>
        <w:ind w:firstLine="640"/>
        <w:rPr>
          <w:rFonts w:eastAsia="方正仿宋简体" w:cs="Times New Roman"/>
        </w:rPr>
      </w:pPr>
      <w:r>
        <w:rPr>
          <w:rFonts w:eastAsia="方正楷体简体" w:cs="Times New Roman"/>
        </w:rPr>
        <w:t>坚持因地制宜，源头管控。</w:t>
      </w:r>
      <w:r>
        <w:rPr>
          <w:rFonts w:eastAsia="方正仿宋简体" w:cs="Times New Roman"/>
        </w:rPr>
        <w:t>坚持陆海统筹、协调发展，综合考虑区域发展布局和生态环境保护，强化因地制宜、分类施策，严格生态环境空间管控，牢守生态环境安全底线，推进生态环境保护转向引导型和源头管控型，从源头减少环境污染和生态破坏，夯实深入打好污染防治攻坚战的工作基础。</w:t>
      </w:r>
    </w:p>
    <w:p>
      <w:pPr>
        <w:spacing w:line="550" w:lineRule="exact"/>
        <w:ind w:firstLine="640"/>
        <w:rPr>
          <w:rFonts w:eastAsia="方正仿宋简体" w:cs="Times New Roman"/>
        </w:rPr>
      </w:pPr>
      <w:r>
        <w:rPr>
          <w:rFonts w:eastAsia="方正楷体简体" w:cs="Times New Roman"/>
        </w:rPr>
        <w:t>坚持制度创新，深化改革。</w:t>
      </w:r>
      <w:r>
        <w:rPr>
          <w:rFonts w:eastAsia="方正仿宋简体" w:cs="Times New Roman"/>
        </w:rPr>
        <w:t>加快生态环保领域体制机制创新，源头转变环境治理理念和方式，完善生态环境保护的责任体系和考核机制，提高制度供给的精细化、法治化与社会化能力，形成保护生态环境的强大合力。</w:t>
      </w:r>
    </w:p>
    <w:p>
      <w:pPr>
        <w:pStyle w:val="2"/>
        <w:ind w:firstLine="480"/>
      </w:pPr>
    </w:p>
    <w:p>
      <w:pPr>
        <w:pStyle w:val="4"/>
        <w:spacing w:before="0" w:beforeLines="0" w:line="550" w:lineRule="exact"/>
        <w:rPr>
          <w:rFonts w:ascii="黑体" w:hAnsi="黑体" w:eastAsia="黑体" w:cs="Times New Roman"/>
        </w:rPr>
      </w:pPr>
      <w:bookmarkStart w:id="34" w:name="_Toc28056"/>
      <w:bookmarkStart w:id="35" w:name="_Toc29854"/>
      <w:bookmarkStart w:id="36" w:name="_Toc4587"/>
      <w:bookmarkStart w:id="37" w:name="_Toc9509"/>
      <w:bookmarkStart w:id="38" w:name="_Toc157760706"/>
      <w:r>
        <w:rPr>
          <w:rFonts w:ascii="黑体" w:hAnsi="黑体" w:eastAsia="黑体" w:cs="Times New Roman"/>
        </w:rPr>
        <w:t>第三节 规划目标</w:t>
      </w:r>
      <w:bookmarkEnd w:id="34"/>
      <w:bookmarkEnd w:id="35"/>
      <w:bookmarkEnd w:id="36"/>
      <w:bookmarkEnd w:id="37"/>
      <w:bookmarkEnd w:id="38"/>
    </w:p>
    <w:p>
      <w:pPr>
        <w:ind w:firstLine="640"/>
      </w:pPr>
    </w:p>
    <w:p>
      <w:pPr>
        <w:spacing w:line="550" w:lineRule="exact"/>
        <w:ind w:firstLine="640"/>
        <w:rPr>
          <w:rFonts w:eastAsia="方正仿宋简体" w:cs="Times New Roman"/>
        </w:rPr>
      </w:pPr>
      <w:r>
        <w:rPr>
          <w:rFonts w:eastAsia="方正仿宋简体" w:cs="Times New Roman"/>
        </w:rPr>
        <w:t>展望2035年，人与自然和谐共生格局基本形成，绿色生产生活方式总体形成，碳排放率先达峰后稳中有降，生态环境实现根本好转，生态环境治理体系和治理能力现代化基本实现，美丽阳东建设目标基本实现。</w:t>
      </w:r>
    </w:p>
    <w:p>
      <w:pPr>
        <w:spacing w:line="550" w:lineRule="exact"/>
        <w:ind w:firstLine="640"/>
        <w:rPr>
          <w:rFonts w:eastAsia="方正仿宋简体" w:cs="Times New Roman"/>
        </w:rPr>
      </w:pPr>
      <w:r>
        <w:rPr>
          <w:rFonts w:eastAsia="方正仿宋简体" w:cs="Times New Roman"/>
        </w:rPr>
        <w:t>到2025年，加快形成绿色低碳发展方式，资源节约和循环利用水平不断提升，生态环境质量持续改善，生态系统保护力度明显加大，</w:t>
      </w:r>
      <w:r>
        <w:rPr>
          <w:rFonts w:eastAsia="方正仿宋简体" w:cs="Times New Roman"/>
          <w:szCs w:val="32"/>
        </w:rPr>
        <w:t>生态环境治理体系和治理能力现代化加快推进，</w:t>
      </w:r>
      <w:r>
        <w:rPr>
          <w:rFonts w:eastAsia="方正仿宋简体" w:cs="Times New Roman"/>
        </w:rPr>
        <w:t>形成</w:t>
      </w:r>
      <w:r>
        <w:rPr>
          <w:rFonts w:hint="eastAsia" w:ascii="方正仿宋简体" w:eastAsia="方正仿宋简体" w:cs="Times New Roman"/>
        </w:rPr>
        <w:t>“海碧、天蓝、地绿、水清”</w:t>
      </w:r>
      <w:r>
        <w:rPr>
          <w:rFonts w:eastAsia="方正仿宋简体" w:cs="Times New Roman"/>
        </w:rPr>
        <w:t>的美丽人居环境，人与自然和谐发展的现代化建设新格局初步形成。</w:t>
      </w:r>
    </w:p>
    <w:p>
      <w:pPr>
        <w:spacing w:line="550" w:lineRule="exact"/>
        <w:ind w:firstLine="643"/>
        <w:rPr>
          <w:rFonts w:eastAsia="方正仿宋简体" w:cs="Times New Roman"/>
        </w:rPr>
      </w:pPr>
      <w:r>
        <w:rPr>
          <w:rFonts w:eastAsia="方正仿宋简体" w:cs="Times New Roman"/>
          <w:b/>
          <w:bCs/>
        </w:rPr>
        <w:t>——大气环境质量持续改善</w:t>
      </w:r>
      <w:r>
        <w:rPr>
          <w:rFonts w:eastAsia="方正仿宋简体" w:cs="Times New Roman"/>
        </w:rPr>
        <w:t>，空气质量优良天数比率和PM</w:t>
      </w:r>
      <w:r>
        <w:rPr>
          <w:rFonts w:eastAsia="方正仿宋简体" w:cs="Times New Roman"/>
          <w:vertAlign w:val="subscript"/>
        </w:rPr>
        <w:t>2.5</w:t>
      </w:r>
      <w:r>
        <w:rPr>
          <w:rFonts w:eastAsia="方正仿宋简体" w:cs="Times New Roman"/>
        </w:rPr>
        <w:t>年均浓度达到省市下达目标。</w:t>
      </w:r>
    </w:p>
    <w:p>
      <w:pPr>
        <w:spacing w:line="550" w:lineRule="exact"/>
        <w:ind w:firstLine="643"/>
        <w:rPr>
          <w:rFonts w:eastAsia="方正仿宋简体" w:cs="Times New Roman"/>
        </w:rPr>
      </w:pPr>
      <w:r>
        <w:rPr>
          <w:rFonts w:eastAsia="方正仿宋简体" w:cs="Times New Roman"/>
          <w:b/>
          <w:bCs/>
        </w:rPr>
        <w:t>——水环境质量持续提升</w:t>
      </w:r>
      <w:r>
        <w:rPr>
          <w:rFonts w:eastAsia="方正仿宋简体" w:cs="Times New Roman"/>
        </w:rPr>
        <w:t>，水生态功能初步得到恢复，国考和省考断面劣Ⅴ类水体和县级以上城市建成区黑臭水体全面消除。</w:t>
      </w:r>
    </w:p>
    <w:p>
      <w:pPr>
        <w:spacing w:line="550" w:lineRule="exact"/>
        <w:ind w:firstLine="643"/>
        <w:rPr>
          <w:rFonts w:eastAsia="方正仿宋简体" w:cs="Times New Roman"/>
        </w:rPr>
      </w:pPr>
      <w:r>
        <w:rPr>
          <w:rFonts w:eastAsia="方正仿宋简体" w:cs="Times New Roman"/>
          <w:b/>
          <w:bCs/>
        </w:rPr>
        <w:t>——土壤和固体废物污染有效防控</w:t>
      </w:r>
      <w:r>
        <w:rPr>
          <w:rFonts w:eastAsia="方正仿宋简体" w:cs="Times New Roman"/>
        </w:rPr>
        <w:t>，土壤安全利用水平稳步提升，工业危险废物和县级以上医疗废物均得到安全处置。</w:t>
      </w:r>
    </w:p>
    <w:p>
      <w:pPr>
        <w:pStyle w:val="2"/>
        <w:ind w:firstLine="480"/>
      </w:pPr>
      <w:r>
        <w:br w:type="page"/>
      </w:r>
    </w:p>
    <w:p>
      <w:pPr>
        <w:pStyle w:val="8"/>
        <w:keepNext/>
        <w:ind w:firstLine="0" w:firstLineChars="0"/>
        <w:jc w:val="center"/>
        <w:outlineLvl w:val="3"/>
        <w:rPr>
          <w:rFonts w:ascii="方正小标宋简体" w:hAnsi="Times New Roman" w:eastAsia="方正小标宋简体" w:cs="Times New Roman"/>
          <w:sz w:val="28"/>
          <w:szCs w:val="28"/>
        </w:rPr>
      </w:pPr>
      <w:r>
        <w:rPr>
          <w:rFonts w:hint="eastAsia" w:ascii="方正小标宋简体" w:hAnsi="Times New Roman" w:eastAsia="方正小标宋简体" w:cs="Times New Roman"/>
          <w:sz w:val="28"/>
          <w:szCs w:val="28"/>
        </w:rPr>
        <w:t>表2 阳东区生态环境保护“十四五”规划指标体系</w:t>
      </w:r>
    </w:p>
    <w:tbl>
      <w:tblPr>
        <w:tblStyle w:val="17"/>
        <w:tblW w:w="490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866"/>
        <w:gridCol w:w="758"/>
        <w:gridCol w:w="3941"/>
        <w:gridCol w:w="887"/>
        <w:gridCol w:w="1103"/>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7" w:type="pct"/>
            <w:tcMar>
              <w:top w:w="15" w:type="dxa"/>
              <w:left w:w="27" w:type="dxa"/>
              <w:bottom w:w="0" w:type="dxa"/>
              <w:right w:w="27" w:type="dxa"/>
            </w:tcMar>
            <w:vAlign w:val="center"/>
          </w:tcPr>
          <w:p>
            <w:pPr>
              <w:spacing w:line="340" w:lineRule="exact"/>
              <w:ind w:firstLine="0" w:firstLineChars="0"/>
              <w:jc w:val="center"/>
              <w:outlineLvl w:val="3"/>
              <w:rPr>
                <w:rFonts w:ascii="黑体" w:hAnsi="黑体" w:eastAsia="黑体" w:cs="Times New Roman"/>
                <w:sz w:val="24"/>
              </w:rPr>
            </w:pPr>
            <w:bookmarkStart w:id="39" w:name="_Toc29941"/>
            <w:bookmarkStart w:id="40" w:name="_Hlk56266179"/>
            <w:r>
              <w:rPr>
                <w:rFonts w:ascii="黑体" w:hAnsi="黑体" w:eastAsia="黑体" w:cs="Times New Roman"/>
                <w:sz w:val="24"/>
              </w:rPr>
              <w:t>类别</w:t>
            </w:r>
            <w:bookmarkEnd w:id="39"/>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ascii="黑体" w:hAnsi="黑体" w:eastAsia="黑体" w:cs="Times New Roman"/>
                <w:sz w:val="24"/>
              </w:rPr>
            </w:pPr>
            <w:bookmarkStart w:id="41" w:name="_Toc25028"/>
            <w:r>
              <w:rPr>
                <w:rFonts w:ascii="黑体" w:hAnsi="黑体" w:eastAsia="黑体" w:cs="Times New Roman"/>
                <w:sz w:val="24"/>
              </w:rPr>
              <w:t>序号</w:t>
            </w:r>
            <w:bookmarkEnd w:id="41"/>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ascii="黑体" w:hAnsi="黑体" w:eastAsia="黑体" w:cs="Times New Roman"/>
                <w:sz w:val="24"/>
              </w:rPr>
            </w:pPr>
            <w:bookmarkStart w:id="42" w:name="_Toc6241"/>
            <w:r>
              <w:rPr>
                <w:rFonts w:ascii="黑体" w:hAnsi="黑体" w:eastAsia="黑体" w:cs="Times New Roman"/>
                <w:sz w:val="24"/>
              </w:rPr>
              <w:t>指标</w:t>
            </w:r>
            <w:bookmarkEnd w:id="42"/>
          </w:p>
        </w:tc>
        <w:tc>
          <w:tcPr>
            <w:tcW w:w="509" w:type="pct"/>
            <w:vAlign w:val="center"/>
          </w:tcPr>
          <w:p>
            <w:pPr>
              <w:spacing w:line="300" w:lineRule="exact"/>
              <w:ind w:firstLine="0" w:firstLineChars="0"/>
              <w:jc w:val="center"/>
              <w:outlineLvl w:val="3"/>
              <w:rPr>
                <w:rFonts w:ascii="黑体" w:hAnsi="黑体" w:eastAsia="黑体" w:cs="Times New Roman"/>
                <w:sz w:val="24"/>
              </w:rPr>
            </w:pPr>
            <w:r>
              <w:rPr>
                <w:rFonts w:ascii="黑体" w:hAnsi="黑体" w:eastAsia="黑体" w:cs="Times New Roman"/>
                <w:sz w:val="24"/>
              </w:rPr>
              <w:t>2020年</w:t>
            </w:r>
          </w:p>
          <w:p>
            <w:pPr>
              <w:spacing w:line="300" w:lineRule="exact"/>
              <w:ind w:firstLine="0" w:firstLineChars="0"/>
              <w:jc w:val="center"/>
              <w:outlineLvl w:val="3"/>
              <w:rPr>
                <w:rFonts w:ascii="黑体" w:hAnsi="黑体" w:eastAsia="黑体" w:cs="Times New Roman"/>
                <w:sz w:val="24"/>
              </w:rPr>
            </w:pPr>
            <w:r>
              <w:rPr>
                <w:rFonts w:ascii="黑体" w:hAnsi="黑体" w:eastAsia="黑体" w:cs="Times New Roman"/>
                <w:sz w:val="24"/>
              </w:rPr>
              <w:t>现状值</w:t>
            </w:r>
          </w:p>
        </w:tc>
        <w:tc>
          <w:tcPr>
            <w:tcW w:w="633" w:type="pct"/>
            <w:vAlign w:val="center"/>
          </w:tcPr>
          <w:p>
            <w:pPr>
              <w:spacing w:line="300" w:lineRule="exact"/>
              <w:ind w:firstLine="0" w:firstLineChars="0"/>
              <w:jc w:val="center"/>
              <w:outlineLvl w:val="3"/>
              <w:rPr>
                <w:rFonts w:ascii="黑体" w:hAnsi="黑体" w:eastAsia="黑体" w:cs="Times New Roman"/>
                <w:sz w:val="24"/>
              </w:rPr>
            </w:pPr>
            <w:r>
              <w:rPr>
                <w:rFonts w:ascii="黑体" w:hAnsi="黑体" w:eastAsia="黑体" w:cs="Times New Roman"/>
                <w:sz w:val="24"/>
              </w:rPr>
              <w:t>2025年目标值</w:t>
            </w:r>
          </w:p>
        </w:tc>
        <w:tc>
          <w:tcPr>
            <w:tcW w:w="662" w:type="pct"/>
            <w:vAlign w:val="center"/>
          </w:tcPr>
          <w:p>
            <w:pPr>
              <w:spacing w:line="300" w:lineRule="exact"/>
              <w:ind w:firstLine="0" w:firstLineChars="0"/>
              <w:jc w:val="center"/>
              <w:outlineLvl w:val="3"/>
              <w:rPr>
                <w:rFonts w:ascii="黑体" w:hAnsi="黑体" w:eastAsia="黑体" w:cs="Times New Roman"/>
                <w:sz w:val="24"/>
              </w:rPr>
            </w:pPr>
            <w:bookmarkStart w:id="43" w:name="_Toc9567"/>
            <w:r>
              <w:rPr>
                <w:rFonts w:ascii="黑体" w:hAnsi="黑体" w:eastAsia="黑体" w:cs="Times New Roman"/>
                <w:sz w:val="24"/>
              </w:rPr>
              <w:t>指标属性</w:t>
            </w:r>
            <w:bookmarkEnd w:id="4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7" w:type="pct"/>
            <w:vMerge w:val="restar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bookmarkStart w:id="44" w:name="_Toc13335"/>
            <w:r>
              <w:rPr>
                <w:rFonts w:eastAsia="方正仿宋简体" w:cs="Times New Roman"/>
                <w:bCs/>
                <w:sz w:val="24"/>
              </w:rPr>
              <w:t>环境</w:t>
            </w:r>
            <w:bookmarkEnd w:id="44"/>
            <w:r>
              <w:rPr>
                <w:rFonts w:eastAsia="方正仿宋简体" w:cs="Times New Roman"/>
                <w:bCs/>
                <w:sz w:val="24"/>
              </w:rPr>
              <w:t>治理</w:t>
            </w: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bookmarkStart w:id="45" w:name="_Toc20037"/>
            <w:r>
              <w:rPr>
                <w:rFonts w:eastAsia="方正仿宋简体" w:cs="Times New Roman"/>
                <w:bCs/>
                <w:sz w:val="24"/>
              </w:rPr>
              <w:t>1</w:t>
            </w:r>
            <w:bookmarkEnd w:id="45"/>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bookmarkStart w:id="46" w:name="_Toc13929"/>
            <w:r>
              <w:rPr>
                <w:rFonts w:eastAsia="方正仿宋简体" w:cs="Times New Roman"/>
                <w:bCs/>
                <w:sz w:val="24"/>
              </w:rPr>
              <w:t>空气质量优良天数比率（%）</w:t>
            </w:r>
            <w:bookmarkEnd w:id="46"/>
          </w:p>
        </w:tc>
        <w:tc>
          <w:tcPr>
            <w:tcW w:w="509"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94.1</w:t>
            </w:r>
          </w:p>
        </w:tc>
        <w:tc>
          <w:tcPr>
            <w:tcW w:w="633"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完成市下达目标</w:t>
            </w:r>
          </w:p>
        </w:tc>
        <w:tc>
          <w:tcPr>
            <w:tcW w:w="662" w:type="pct"/>
            <w:vAlign w:val="center"/>
          </w:tcPr>
          <w:p>
            <w:pPr>
              <w:spacing w:line="300" w:lineRule="exact"/>
              <w:ind w:firstLine="0" w:firstLineChars="0"/>
              <w:jc w:val="center"/>
              <w:outlineLvl w:val="3"/>
              <w:rPr>
                <w:rFonts w:eastAsia="方正仿宋简体" w:cs="Times New Roman"/>
                <w:bCs/>
                <w:sz w:val="24"/>
              </w:rPr>
            </w:pPr>
            <w:bookmarkStart w:id="47" w:name="_Toc31977"/>
            <w:r>
              <w:rPr>
                <w:rFonts w:eastAsia="方正仿宋简体" w:cs="Times New Roman"/>
                <w:bCs/>
                <w:sz w:val="24"/>
              </w:rPr>
              <w:t>约束性</w:t>
            </w:r>
            <w:bookmarkEnd w:id="4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bookmarkStart w:id="48" w:name="_Toc979"/>
            <w:r>
              <w:rPr>
                <w:rFonts w:eastAsia="方正仿宋简体" w:cs="Times New Roman"/>
                <w:bCs/>
                <w:sz w:val="24"/>
              </w:rPr>
              <w:t>2</w:t>
            </w:r>
            <w:bookmarkEnd w:id="48"/>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bookmarkStart w:id="49" w:name="_Toc6721"/>
            <w:r>
              <w:rPr>
                <w:rFonts w:eastAsia="方正仿宋简体" w:cs="Times New Roman"/>
                <w:bCs/>
                <w:sz w:val="24"/>
              </w:rPr>
              <w:t>PM</w:t>
            </w:r>
            <w:r>
              <w:rPr>
                <w:rFonts w:eastAsia="方正仿宋简体" w:cs="Times New Roman"/>
                <w:bCs/>
                <w:sz w:val="24"/>
                <w:vertAlign w:val="subscript"/>
              </w:rPr>
              <w:t>2.5</w:t>
            </w:r>
            <w:r>
              <w:rPr>
                <w:rFonts w:eastAsia="方正仿宋简体" w:cs="Times New Roman"/>
                <w:bCs/>
                <w:sz w:val="24"/>
              </w:rPr>
              <w:t>年均浓度（μg/m</w:t>
            </w:r>
            <w:r>
              <w:rPr>
                <w:rFonts w:eastAsia="宋体" w:cs="Times New Roman"/>
                <w:bCs/>
                <w:sz w:val="24"/>
              </w:rPr>
              <w:t>³</w:t>
            </w:r>
            <w:r>
              <w:rPr>
                <w:rFonts w:eastAsia="方正仿宋简体" w:cs="Times New Roman"/>
                <w:bCs/>
                <w:sz w:val="24"/>
              </w:rPr>
              <w:t>）</w:t>
            </w:r>
            <w:bookmarkEnd w:id="49"/>
          </w:p>
        </w:tc>
        <w:tc>
          <w:tcPr>
            <w:tcW w:w="509"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22</w:t>
            </w:r>
          </w:p>
        </w:tc>
        <w:tc>
          <w:tcPr>
            <w:tcW w:w="633"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完成市下达目标</w:t>
            </w:r>
          </w:p>
        </w:tc>
        <w:tc>
          <w:tcPr>
            <w:tcW w:w="662" w:type="pct"/>
            <w:vAlign w:val="center"/>
          </w:tcPr>
          <w:p>
            <w:pPr>
              <w:spacing w:line="300" w:lineRule="exact"/>
              <w:ind w:firstLine="0" w:firstLineChars="0"/>
              <w:jc w:val="center"/>
              <w:outlineLvl w:val="3"/>
              <w:rPr>
                <w:rFonts w:eastAsia="方正仿宋简体" w:cs="Times New Roman"/>
                <w:bCs/>
                <w:sz w:val="24"/>
              </w:rPr>
            </w:pPr>
            <w:bookmarkStart w:id="50" w:name="_Toc26146"/>
            <w:r>
              <w:rPr>
                <w:rFonts w:eastAsia="方正仿宋简体" w:cs="Times New Roman"/>
                <w:bCs/>
                <w:sz w:val="24"/>
              </w:rPr>
              <w:t>预期性</w:t>
            </w:r>
            <w:bookmarkEnd w:id="5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bookmarkStart w:id="51" w:name="_Toc25327"/>
            <w:r>
              <w:rPr>
                <w:rFonts w:eastAsia="方正仿宋简体" w:cs="Times New Roman"/>
                <w:bCs/>
                <w:sz w:val="24"/>
              </w:rPr>
              <w:t>3</w:t>
            </w:r>
            <w:bookmarkEnd w:id="51"/>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bookmarkStart w:id="52" w:name="_Toc10672"/>
            <w:r>
              <w:rPr>
                <w:rFonts w:eastAsia="方正仿宋简体" w:cs="Times New Roman"/>
                <w:bCs/>
                <w:sz w:val="24"/>
              </w:rPr>
              <w:t>地表水达到或好于Ⅲ类水体比例（%）</w:t>
            </w:r>
            <w:bookmarkEnd w:id="52"/>
          </w:p>
        </w:tc>
        <w:tc>
          <w:tcPr>
            <w:tcW w:w="509" w:type="pct"/>
            <w:vAlign w:val="center"/>
          </w:tcPr>
          <w:p>
            <w:pPr>
              <w:spacing w:line="300" w:lineRule="exact"/>
              <w:ind w:firstLine="0" w:firstLineChars="0"/>
              <w:jc w:val="center"/>
              <w:rPr>
                <w:rFonts w:eastAsia="方正仿宋简体" w:cs="Times New Roman"/>
                <w:sz w:val="24"/>
              </w:rPr>
            </w:pPr>
            <w:r>
              <w:rPr>
                <w:rFonts w:eastAsia="方正仿宋简体" w:cs="Times New Roman"/>
                <w:bCs/>
                <w:sz w:val="24"/>
              </w:rPr>
              <w:t>100</w:t>
            </w:r>
          </w:p>
        </w:tc>
        <w:tc>
          <w:tcPr>
            <w:tcW w:w="633" w:type="pct"/>
            <w:vAlign w:val="center"/>
          </w:tcPr>
          <w:p>
            <w:pPr>
              <w:spacing w:line="300" w:lineRule="exact"/>
              <w:ind w:firstLine="0" w:firstLineChars="0"/>
              <w:jc w:val="center"/>
              <w:outlineLvl w:val="3"/>
              <w:rPr>
                <w:rFonts w:eastAsia="方正仿宋简体" w:cs="Times New Roman"/>
                <w:sz w:val="24"/>
              </w:rPr>
            </w:pPr>
            <w:r>
              <w:rPr>
                <w:rFonts w:eastAsia="方正仿宋简体" w:cs="Times New Roman"/>
                <w:bCs/>
                <w:sz w:val="24"/>
              </w:rPr>
              <w:t>100</w:t>
            </w:r>
          </w:p>
        </w:tc>
        <w:tc>
          <w:tcPr>
            <w:tcW w:w="662" w:type="pct"/>
            <w:vAlign w:val="center"/>
          </w:tcPr>
          <w:p>
            <w:pPr>
              <w:spacing w:line="300" w:lineRule="exact"/>
              <w:ind w:firstLine="0" w:firstLineChars="0"/>
              <w:jc w:val="center"/>
              <w:outlineLvl w:val="3"/>
              <w:rPr>
                <w:rFonts w:eastAsia="方正仿宋简体" w:cs="Times New Roman"/>
                <w:bCs/>
                <w:sz w:val="24"/>
              </w:rPr>
            </w:pPr>
            <w:bookmarkStart w:id="53" w:name="_Toc1227"/>
            <w:r>
              <w:rPr>
                <w:rFonts w:eastAsia="方正仿宋简体" w:cs="Times New Roman"/>
                <w:bCs/>
                <w:sz w:val="24"/>
              </w:rPr>
              <w:t>约束性</w:t>
            </w:r>
            <w:bookmarkEnd w:id="5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bookmarkStart w:id="54" w:name="_Toc1512"/>
            <w:r>
              <w:rPr>
                <w:rFonts w:eastAsia="方正仿宋简体" w:cs="Times New Roman"/>
                <w:bCs/>
                <w:sz w:val="24"/>
              </w:rPr>
              <w:t>4</w:t>
            </w:r>
            <w:bookmarkEnd w:id="54"/>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bookmarkStart w:id="55" w:name="_Toc21197"/>
            <w:r>
              <w:rPr>
                <w:rFonts w:eastAsia="方正仿宋简体" w:cs="Times New Roman"/>
                <w:bCs/>
                <w:sz w:val="24"/>
              </w:rPr>
              <w:t>地表水劣V类水体比例（%）</w:t>
            </w:r>
            <w:bookmarkEnd w:id="55"/>
          </w:p>
        </w:tc>
        <w:tc>
          <w:tcPr>
            <w:tcW w:w="509"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0</w:t>
            </w:r>
          </w:p>
        </w:tc>
        <w:tc>
          <w:tcPr>
            <w:tcW w:w="633"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0</w:t>
            </w:r>
          </w:p>
        </w:tc>
        <w:tc>
          <w:tcPr>
            <w:tcW w:w="662" w:type="pct"/>
            <w:vAlign w:val="center"/>
          </w:tcPr>
          <w:p>
            <w:pPr>
              <w:spacing w:line="300" w:lineRule="exact"/>
              <w:ind w:firstLine="0" w:firstLineChars="0"/>
              <w:jc w:val="center"/>
              <w:outlineLvl w:val="3"/>
              <w:rPr>
                <w:rFonts w:eastAsia="方正仿宋简体" w:cs="Times New Roman"/>
                <w:bCs/>
                <w:sz w:val="24"/>
              </w:rPr>
            </w:pPr>
            <w:bookmarkStart w:id="56" w:name="_Toc20010"/>
            <w:r>
              <w:rPr>
                <w:rFonts w:eastAsia="方正仿宋简体" w:cs="Times New Roman"/>
                <w:bCs/>
                <w:sz w:val="24"/>
              </w:rPr>
              <w:t>预期性</w:t>
            </w:r>
            <w:bookmarkEnd w:id="5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bookmarkStart w:id="57" w:name="_Toc25015"/>
            <w:r>
              <w:rPr>
                <w:rFonts w:eastAsia="方正仿宋简体" w:cs="Times New Roman"/>
                <w:bCs/>
                <w:sz w:val="24"/>
              </w:rPr>
              <w:t>5</w:t>
            </w:r>
            <w:bookmarkEnd w:id="57"/>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bookmarkStart w:id="58" w:name="_Toc23202"/>
            <w:r>
              <w:rPr>
                <w:rFonts w:eastAsia="方正仿宋简体" w:cs="Times New Roman"/>
                <w:bCs/>
                <w:sz w:val="24"/>
              </w:rPr>
              <w:t>县级以上城市建成区黑臭水体比例（%）</w:t>
            </w:r>
            <w:bookmarkEnd w:id="58"/>
          </w:p>
        </w:tc>
        <w:tc>
          <w:tcPr>
            <w:tcW w:w="509"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0</w:t>
            </w:r>
          </w:p>
        </w:tc>
        <w:tc>
          <w:tcPr>
            <w:tcW w:w="633"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全面消除</w:t>
            </w:r>
          </w:p>
        </w:tc>
        <w:tc>
          <w:tcPr>
            <w:tcW w:w="662" w:type="pct"/>
            <w:vAlign w:val="center"/>
          </w:tcPr>
          <w:p>
            <w:pPr>
              <w:spacing w:line="300" w:lineRule="exact"/>
              <w:ind w:firstLine="0" w:firstLineChars="0"/>
              <w:jc w:val="center"/>
              <w:outlineLvl w:val="3"/>
              <w:rPr>
                <w:rFonts w:eastAsia="方正仿宋简体" w:cs="Times New Roman"/>
                <w:bCs/>
                <w:sz w:val="24"/>
              </w:rPr>
            </w:pPr>
            <w:bookmarkStart w:id="59" w:name="_Toc12360"/>
            <w:r>
              <w:rPr>
                <w:rFonts w:eastAsia="方正仿宋简体" w:cs="Times New Roman"/>
                <w:bCs/>
                <w:sz w:val="24"/>
              </w:rPr>
              <w:t>预期性</w:t>
            </w:r>
            <w:bookmarkEnd w:id="5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bookmarkStart w:id="60" w:name="_Toc10709"/>
            <w:r>
              <w:rPr>
                <w:rFonts w:eastAsia="方正仿宋简体" w:cs="Times New Roman"/>
                <w:bCs/>
                <w:sz w:val="24"/>
              </w:rPr>
              <w:t>6</w:t>
            </w:r>
            <w:bookmarkEnd w:id="60"/>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地下水质量V类水比例（%）</w:t>
            </w:r>
          </w:p>
        </w:tc>
        <w:tc>
          <w:tcPr>
            <w:tcW w:w="509"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w:t>
            </w:r>
          </w:p>
        </w:tc>
        <w:tc>
          <w:tcPr>
            <w:tcW w:w="633"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完成市下达目标</w:t>
            </w:r>
          </w:p>
        </w:tc>
        <w:tc>
          <w:tcPr>
            <w:tcW w:w="662"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7</w:t>
            </w:r>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农村生活污水治理率（%）</w:t>
            </w:r>
          </w:p>
        </w:tc>
        <w:tc>
          <w:tcPr>
            <w:tcW w:w="509"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35.4</w:t>
            </w:r>
          </w:p>
        </w:tc>
        <w:tc>
          <w:tcPr>
            <w:tcW w:w="633"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≥80</w:t>
            </w:r>
          </w:p>
        </w:tc>
        <w:tc>
          <w:tcPr>
            <w:tcW w:w="662" w:type="pct"/>
            <w:vAlign w:val="center"/>
          </w:tcPr>
          <w:p>
            <w:pPr>
              <w:spacing w:line="300" w:lineRule="exact"/>
              <w:ind w:firstLine="0" w:firstLineChars="0"/>
              <w:jc w:val="center"/>
              <w:rPr>
                <w:rFonts w:eastAsia="方正仿宋简体" w:cs="Times New Roman"/>
                <w:sz w:val="24"/>
              </w:rPr>
            </w:pPr>
            <w:r>
              <w:rPr>
                <w:rFonts w:eastAsia="方正仿宋简体" w:cs="Times New Roman"/>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8</w:t>
            </w:r>
          </w:p>
        </w:tc>
        <w:tc>
          <w:tcPr>
            <w:tcW w:w="2262" w:type="pct"/>
            <w:tcMar>
              <w:top w:w="15" w:type="dxa"/>
              <w:left w:w="27" w:type="dxa"/>
              <w:bottom w:w="0" w:type="dxa"/>
              <w:right w:w="27" w:type="dxa"/>
            </w:tcMar>
            <w:vAlign w:val="center"/>
          </w:tcPr>
          <w:p>
            <w:pPr>
              <w:widowControl/>
              <w:spacing w:line="340" w:lineRule="exact"/>
              <w:ind w:firstLine="0" w:firstLineChars="0"/>
              <w:jc w:val="center"/>
              <w:rPr>
                <w:rFonts w:eastAsia="方正仿宋简体" w:cs="Times New Roman"/>
                <w:bCs/>
                <w:sz w:val="24"/>
                <w:highlight w:val="yellow"/>
              </w:rPr>
            </w:pPr>
            <w:r>
              <w:rPr>
                <w:rFonts w:eastAsia="方正仿宋简体" w:cs="Times New Roman"/>
                <w:bCs/>
                <w:sz w:val="24"/>
              </w:rPr>
              <w:t>化学需氧量重点工程减排量（万吨）</w:t>
            </w:r>
          </w:p>
        </w:tc>
        <w:tc>
          <w:tcPr>
            <w:tcW w:w="509" w:type="pct"/>
            <w:vAlign w:val="center"/>
          </w:tcPr>
          <w:p>
            <w:pPr>
              <w:spacing w:line="300" w:lineRule="exact"/>
              <w:ind w:firstLine="0" w:firstLineChars="0"/>
              <w:jc w:val="center"/>
              <w:rPr>
                <w:rFonts w:eastAsia="方正仿宋简体" w:cs="Times New Roman"/>
                <w:sz w:val="24"/>
                <w:highlight w:val="yellow"/>
              </w:rPr>
            </w:pPr>
            <w:r>
              <w:rPr>
                <w:rFonts w:eastAsia="方正仿宋简体" w:cs="Times New Roman"/>
                <w:bCs/>
                <w:sz w:val="24"/>
              </w:rPr>
              <w:t>/</w:t>
            </w:r>
          </w:p>
        </w:tc>
        <w:tc>
          <w:tcPr>
            <w:tcW w:w="633" w:type="pct"/>
            <w:vMerge w:val="restar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完成市下达目标</w:t>
            </w:r>
          </w:p>
        </w:tc>
        <w:tc>
          <w:tcPr>
            <w:tcW w:w="662" w:type="pct"/>
            <w:vMerge w:val="restart"/>
            <w:vAlign w:val="center"/>
          </w:tcPr>
          <w:p>
            <w:pPr>
              <w:spacing w:line="300" w:lineRule="exact"/>
              <w:ind w:firstLine="0" w:firstLineChars="0"/>
              <w:jc w:val="center"/>
              <w:rPr>
                <w:rFonts w:eastAsia="方正仿宋简体" w:cs="Times New Roman"/>
                <w:bCs/>
                <w:sz w:val="24"/>
              </w:rPr>
            </w:pPr>
            <w:bookmarkStart w:id="61" w:name="_Toc12648"/>
            <w:r>
              <w:rPr>
                <w:rFonts w:eastAsia="方正仿宋简体" w:cs="Times New Roman"/>
                <w:bCs/>
                <w:sz w:val="24"/>
              </w:rPr>
              <w:t>预期性</w:t>
            </w:r>
            <w:bookmarkEnd w:id="6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1" w:hRule="atLeast"/>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9</w:t>
            </w:r>
          </w:p>
        </w:tc>
        <w:tc>
          <w:tcPr>
            <w:tcW w:w="2262" w:type="pct"/>
            <w:tcMar>
              <w:top w:w="15" w:type="dxa"/>
              <w:left w:w="27" w:type="dxa"/>
              <w:bottom w:w="0" w:type="dxa"/>
              <w:right w:w="27" w:type="dxa"/>
            </w:tcMar>
            <w:vAlign w:val="center"/>
          </w:tcPr>
          <w:p>
            <w:pPr>
              <w:widowControl/>
              <w:spacing w:line="340" w:lineRule="exact"/>
              <w:ind w:firstLine="0" w:firstLineChars="0"/>
              <w:jc w:val="center"/>
              <w:rPr>
                <w:rFonts w:eastAsia="方正仿宋简体" w:cs="Times New Roman"/>
                <w:bCs/>
                <w:sz w:val="24"/>
                <w:highlight w:val="yellow"/>
              </w:rPr>
            </w:pPr>
            <w:r>
              <w:rPr>
                <w:rFonts w:eastAsia="方正仿宋简体" w:cs="Times New Roman"/>
                <w:bCs/>
                <w:sz w:val="24"/>
              </w:rPr>
              <w:t>氨氮重点工程减排量（万吨）</w:t>
            </w:r>
          </w:p>
        </w:tc>
        <w:tc>
          <w:tcPr>
            <w:tcW w:w="509" w:type="pct"/>
            <w:vAlign w:val="center"/>
          </w:tcPr>
          <w:p>
            <w:pPr>
              <w:spacing w:line="300" w:lineRule="exact"/>
              <w:ind w:firstLine="0" w:firstLineChars="0"/>
              <w:jc w:val="center"/>
              <w:rPr>
                <w:rFonts w:eastAsia="方正仿宋简体" w:cs="Times New Roman"/>
                <w:sz w:val="24"/>
                <w:highlight w:val="yellow"/>
              </w:rPr>
            </w:pPr>
            <w:r>
              <w:rPr>
                <w:rFonts w:eastAsia="方正仿宋简体" w:cs="Times New Roman"/>
                <w:bCs/>
                <w:sz w:val="24"/>
              </w:rPr>
              <w:t>/</w:t>
            </w:r>
          </w:p>
        </w:tc>
        <w:tc>
          <w:tcPr>
            <w:tcW w:w="633" w:type="pct"/>
            <w:vMerge w:val="continue"/>
            <w:vAlign w:val="center"/>
          </w:tcPr>
          <w:p>
            <w:pPr>
              <w:spacing w:line="300" w:lineRule="exact"/>
              <w:ind w:firstLine="0" w:firstLineChars="0"/>
              <w:jc w:val="center"/>
              <w:rPr>
                <w:rFonts w:eastAsia="方正仿宋简体" w:cs="Times New Roman"/>
                <w:bCs/>
                <w:sz w:val="24"/>
              </w:rPr>
            </w:pPr>
          </w:p>
        </w:tc>
        <w:tc>
          <w:tcPr>
            <w:tcW w:w="662" w:type="pct"/>
            <w:vMerge w:val="continue"/>
            <w:vAlign w:val="center"/>
          </w:tcPr>
          <w:p>
            <w:pPr>
              <w:spacing w:line="300" w:lineRule="exact"/>
              <w:ind w:firstLine="0" w:firstLineChars="0"/>
              <w:jc w:val="center"/>
              <w:rPr>
                <w:rFonts w:eastAsia="方正仿宋简体"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7" w:hRule="atLeast"/>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10</w:t>
            </w:r>
          </w:p>
        </w:tc>
        <w:tc>
          <w:tcPr>
            <w:tcW w:w="2262" w:type="pct"/>
            <w:tcMar>
              <w:top w:w="15" w:type="dxa"/>
              <w:left w:w="27" w:type="dxa"/>
              <w:bottom w:w="0" w:type="dxa"/>
              <w:right w:w="27" w:type="dxa"/>
            </w:tcMar>
            <w:vAlign w:val="center"/>
          </w:tcPr>
          <w:p>
            <w:pPr>
              <w:widowControl/>
              <w:spacing w:line="340" w:lineRule="exact"/>
              <w:ind w:firstLine="0" w:firstLineChars="0"/>
              <w:jc w:val="center"/>
              <w:rPr>
                <w:rFonts w:eastAsia="方正仿宋简体" w:cs="Times New Roman"/>
                <w:bCs/>
                <w:sz w:val="24"/>
                <w:highlight w:val="yellow"/>
              </w:rPr>
            </w:pPr>
            <w:r>
              <w:rPr>
                <w:rFonts w:eastAsia="方正仿宋简体" w:cs="Times New Roman"/>
                <w:bCs/>
                <w:sz w:val="24"/>
              </w:rPr>
              <w:t>氮氧化物重点工程减排量（万吨）</w:t>
            </w:r>
          </w:p>
        </w:tc>
        <w:tc>
          <w:tcPr>
            <w:tcW w:w="509" w:type="pct"/>
            <w:vAlign w:val="center"/>
          </w:tcPr>
          <w:p>
            <w:pPr>
              <w:spacing w:line="300" w:lineRule="exact"/>
              <w:ind w:firstLine="0" w:firstLineChars="0"/>
              <w:jc w:val="center"/>
              <w:rPr>
                <w:rFonts w:eastAsia="方正仿宋简体" w:cs="Times New Roman"/>
                <w:sz w:val="24"/>
                <w:highlight w:val="yellow"/>
              </w:rPr>
            </w:pPr>
            <w:r>
              <w:rPr>
                <w:rFonts w:eastAsia="方正仿宋简体" w:cs="Times New Roman"/>
                <w:bCs/>
                <w:sz w:val="24"/>
              </w:rPr>
              <w:t>/</w:t>
            </w:r>
          </w:p>
        </w:tc>
        <w:tc>
          <w:tcPr>
            <w:tcW w:w="633" w:type="pct"/>
            <w:vMerge w:val="continue"/>
            <w:vAlign w:val="center"/>
          </w:tcPr>
          <w:p>
            <w:pPr>
              <w:spacing w:line="300" w:lineRule="exact"/>
              <w:ind w:firstLine="0" w:firstLineChars="0"/>
              <w:jc w:val="center"/>
              <w:rPr>
                <w:rFonts w:eastAsia="方正仿宋简体" w:cs="Times New Roman"/>
                <w:bCs/>
                <w:sz w:val="24"/>
              </w:rPr>
            </w:pPr>
          </w:p>
        </w:tc>
        <w:tc>
          <w:tcPr>
            <w:tcW w:w="662" w:type="pct"/>
            <w:vMerge w:val="continue"/>
            <w:vAlign w:val="center"/>
          </w:tcPr>
          <w:p>
            <w:pPr>
              <w:spacing w:line="300" w:lineRule="exact"/>
              <w:ind w:firstLine="0" w:firstLineChars="0"/>
              <w:jc w:val="center"/>
              <w:rPr>
                <w:rFonts w:eastAsia="方正仿宋简体"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48" w:hRule="atLeast"/>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11</w:t>
            </w:r>
          </w:p>
        </w:tc>
        <w:tc>
          <w:tcPr>
            <w:tcW w:w="2262" w:type="pct"/>
            <w:tcMar>
              <w:top w:w="15" w:type="dxa"/>
              <w:left w:w="27" w:type="dxa"/>
              <w:bottom w:w="0" w:type="dxa"/>
              <w:right w:w="27" w:type="dxa"/>
            </w:tcMar>
            <w:vAlign w:val="center"/>
          </w:tcPr>
          <w:p>
            <w:pPr>
              <w:widowControl/>
              <w:spacing w:line="340" w:lineRule="exact"/>
              <w:ind w:firstLine="0" w:firstLineChars="0"/>
              <w:jc w:val="center"/>
              <w:rPr>
                <w:rFonts w:eastAsia="方正仿宋简体" w:cs="Times New Roman"/>
                <w:bCs/>
                <w:sz w:val="24"/>
                <w:highlight w:val="yellow"/>
              </w:rPr>
            </w:pPr>
            <w:r>
              <w:rPr>
                <w:rFonts w:eastAsia="方正仿宋简体" w:cs="Times New Roman"/>
                <w:bCs/>
                <w:sz w:val="24"/>
              </w:rPr>
              <w:t>挥发性有机物重点工程减排量（万吨）</w:t>
            </w:r>
          </w:p>
        </w:tc>
        <w:tc>
          <w:tcPr>
            <w:tcW w:w="509" w:type="pct"/>
            <w:vAlign w:val="center"/>
          </w:tcPr>
          <w:p>
            <w:pPr>
              <w:spacing w:line="300" w:lineRule="exact"/>
              <w:ind w:firstLine="0" w:firstLineChars="0"/>
              <w:jc w:val="center"/>
              <w:rPr>
                <w:rFonts w:eastAsia="方正仿宋简体" w:cs="Times New Roman"/>
                <w:bCs/>
                <w:sz w:val="24"/>
              </w:rPr>
            </w:pPr>
            <w:r>
              <w:rPr>
                <w:rFonts w:eastAsia="方正仿宋简体" w:cs="Times New Roman"/>
                <w:bCs/>
                <w:sz w:val="24"/>
              </w:rPr>
              <w:t>/</w:t>
            </w:r>
          </w:p>
        </w:tc>
        <w:tc>
          <w:tcPr>
            <w:tcW w:w="633" w:type="pct"/>
            <w:vMerge w:val="continue"/>
            <w:vAlign w:val="center"/>
          </w:tcPr>
          <w:p>
            <w:pPr>
              <w:spacing w:line="300" w:lineRule="exact"/>
              <w:ind w:firstLine="0" w:firstLineChars="0"/>
              <w:jc w:val="center"/>
              <w:rPr>
                <w:rFonts w:eastAsia="方正仿宋简体" w:cs="Times New Roman"/>
                <w:bCs/>
                <w:sz w:val="24"/>
              </w:rPr>
            </w:pPr>
          </w:p>
        </w:tc>
        <w:tc>
          <w:tcPr>
            <w:tcW w:w="662" w:type="pct"/>
            <w:vMerge w:val="continue"/>
            <w:vAlign w:val="center"/>
          </w:tcPr>
          <w:p>
            <w:pPr>
              <w:spacing w:line="300" w:lineRule="exact"/>
              <w:ind w:firstLine="0" w:firstLineChars="0"/>
              <w:jc w:val="center"/>
              <w:rPr>
                <w:rFonts w:eastAsia="方正仿宋简体" w:cs="Times New Roman"/>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2" w:hRule="atLeast"/>
          <w:jc w:val="center"/>
        </w:trPr>
        <w:tc>
          <w:tcPr>
            <w:tcW w:w="497" w:type="pct"/>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应对气候变化</w:t>
            </w: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12</w:t>
            </w:r>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单位地区生产总值二氧化碳排放降低（%）</w:t>
            </w:r>
          </w:p>
        </w:tc>
        <w:tc>
          <w:tcPr>
            <w:tcW w:w="509"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sz w:val="24"/>
              </w:rPr>
              <w:t>/</w:t>
            </w:r>
          </w:p>
        </w:tc>
        <w:tc>
          <w:tcPr>
            <w:tcW w:w="633"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完成市下达目标</w:t>
            </w:r>
          </w:p>
        </w:tc>
        <w:tc>
          <w:tcPr>
            <w:tcW w:w="662"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4" w:hRule="atLeast"/>
          <w:jc w:val="center"/>
        </w:trPr>
        <w:tc>
          <w:tcPr>
            <w:tcW w:w="497" w:type="pct"/>
            <w:vMerge w:val="restart"/>
            <w:vAlign w:val="center"/>
          </w:tcPr>
          <w:p>
            <w:pPr>
              <w:spacing w:line="340" w:lineRule="exact"/>
              <w:ind w:firstLine="0" w:firstLineChars="0"/>
              <w:jc w:val="center"/>
              <w:outlineLvl w:val="3"/>
              <w:rPr>
                <w:rFonts w:eastAsia="方正仿宋简体" w:cs="Times New Roman"/>
                <w:bCs/>
                <w:sz w:val="24"/>
              </w:rPr>
            </w:pPr>
            <w:bookmarkStart w:id="62" w:name="_Toc22175"/>
            <w:r>
              <w:rPr>
                <w:rFonts w:eastAsia="方正仿宋简体" w:cs="Times New Roman"/>
                <w:bCs/>
                <w:sz w:val="24"/>
              </w:rPr>
              <w:t>环境风险防控</w:t>
            </w: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13</w:t>
            </w:r>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highlight w:val="yellow"/>
              </w:rPr>
            </w:pPr>
            <w:r>
              <w:rPr>
                <w:rFonts w:eastAsia="方正仿宋简体" w:cs="Times New Roman"/>
                <w:bCs/>
                <w:sz w:val="24"/>
              </w:rPr>
              <w:t>受污染耕地安全利用率（%）</w:t>
            </w:r>
          </w:p>
        </w:tc>
        <w:tc>
          <w:tcPr>
            <w:tcW w:w="509"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w:t>
            </w:r>
            <w:r>
              <w:rPr>
                <w:rStyle w:val="25"/>
                <w:rFonts w:eastAsia="方正仿宋简体" w:cs="Times New Roman"/>
                <w:bCs/>
                <w:sz w:val="24"/>
              </w:rPr>
              <w:footnoteReference w:id="4"/>
            </w:r>
          </w:p>
        </w:tc>
        <w:tc>
          <w:tcPr>
            <w:tcW w:w="633"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完成市下达目标</w:t>
            </w:r>
          </w:p>
        </w:tc>
        <w:tc>
          <w:tcPr>
            <w:tcW w:w="662"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14</w:t>
            </w:r>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重点建设用地安全利用</w:t>
            </w:r>
          </w:p>
        </w:tc>
        <w:tc>
          <w:tcPr>
            <w:tcW w:w="509"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w:t>
            </w:r>
          </w:p>
        </w:tc>
        <w:tc>
          <w:tcPr>
            <w:tcW w:w="633"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完成市下达目标</w:t>
            </w:r>
          </w:p>
        </w:tc>
        <w:tc>
          <w:tcPr>
            <w:tcW w:w="662"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15</w:t>
            </w:r>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工业危险废物利用处置率（%）</w:t>
            </w:r>
          </w:p>
        </w:tc>
        <w:tc>
          <w:tcPr>
            <w:tcW w:w="509"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100</w:t>
            </w:r>
          </w:p>
        </w:tc>
        <w:tc>
          <w:tcPr>
            <w:tcW w:w="633"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≥99</w:t>
            </w:r>
          </w:p>
        </w:tc>
        <w:tc>
          <w:tcPr>
            <w:tcW w:w="662" w:type="pct"/>
            <w:vAlign w:val="center"/>
          </w:tcPr>
          <w:p>
            <w:pPr>
              <w:spacing w:line="300" w:lineRule="exact"/>
              <w:ind w:firstLine="0" w:firstLineChars="0"/>
              <w:jc w:val="center"/>
              <w:outlineLvl w:val="3"/>
              <w:rPr>
                <w:rFonts w:eastAsia="方正仿宋简体" w:cs="Times New Roman"/>
                <w:sz w:val="24"/>
              </w:rPr>
            </w:pPr>
            <w:r>
              <w:rPr>
                <w:rFonts w:eastAsia="方正仿宋简体" w:cs="Times New Roman"/>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16</w:t>
            </w:r>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县级以上医疗废物无害化处置率（%）</w:t>
            </w:r>
          </w:p>
        </w:tc>
        <w:tc>
          <w:tcPr>
            <w:tcW w:w="509"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100</w:t>
            </w:r>
          </w:p>
        </w:tc>
        <w:tc>
          <w:tcPr>
            <w:tcW w:w="633"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100</w:t>
            </w:r>
          </w:p>
        </w:tc>
        <w:tc>
          <w:tcPr>
            <w:tcW w:w="662"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17</w:t>
            </w:r>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sz w:val="24"/>
              </w:rPr>
              <w:t>放射性废源安全处置率（%）</w:t>
            </w:r>
          </w:p>
        </w:tc>
        <w:tc>
          <w:tcPr>
            <w:tcW w:w="509"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100</w:t>
            </w:r>
          </w:p>
        </w:tc>
        <w:tc>
          <w:tcPr>
            <w:tcW w:w="633"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sz w:val="24"/>
              </w:rPr>
              <w:t>100</w:t>
            </w:r>
          </w:p>
        </w:tc>
        <w:tc>
          <w:tcPr>
            <w:tcW w:w="662"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7" w:type="pct"/>
            <w:vMerge w:val="restar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生态保护</w:t>
            </w:r>
            <w:bookmarkEnd w:id="62"/>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18</w:t>
            </w:r>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生态保护红线占国土面积比例（%）</w:t>
            </w:r>
            <w:r>
              <w:rPr>
                <w:rStyle w:val="25"/>
                <w:rFonts w:eastAsia="方正仿宋简体" w:cs="Times New Roman"/>
                <w:bCs/>
                <w:sz w:val="24"/>
              </w:rPr>
              <w:footnoteReference w:id="5"/>
            </w:r>
          </w:p>
        </w:tc>
        <w:tc>
          <w:tcPr>
            <w:tcW w:w="509"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14.31</w:t>
            </w:r>
          </w:p>
        </w:tc>
        <w:tc>
          <w:tcPr>
            <w:tcW w:w="633" w:type="pct"/>
            <w:vAlign w:val="center"/>
          </w:tcPr>
          <w:p>
            <w:pPr>
              <w:spacing w:line="300" w:lineRule="exact"/>
              <w:ind w:firstLine="0" w:firstLineChars="0"/>
              <w:jc w:val="center"/>
              <w:outlineLvl w:val="3"/>
              <w:rPr>
                <w:rFonts w:eastAsia="方正仿宋简体" w:cs="Times New Roman"/>
                <w:bCs/>
                <w:sz w:val="24"/>
              </w:rPr>
            </w:pPr>
            <w:r>
              <w:rPr>
                <w:rFonts w:eastAsia="方正仿宋简体" w:cs="Times New Roman"/>
                <w:bCs/>
                <w:sz w:val="24"/>
              </w:rPr>
              <w:t>完成市下达目标</w:t>
            </w:r>
          </w:p>
        </w:tc>
        <w:tc>
          <w:tcPr>
            <w:tcW w:w="662" w:type="pct"/>
            <w:vAlign w:val="center"/>
          </w:tcPr>
          <w:p>
            <w:pPr>
              <w:spacing w:line="300" w:lineRule="exact"/>
              <w:ind w:firstLine="0" w:firstLineChars="0"/>
              <w:jc w:val="center"/>
              <w:outlineLvl w:val="3"/>
              <w:rPr>
                <w:rFonts w:eastAsia="方正仿宋简体" w:cs="Times New Roman"/>
                <w:bCs/>
                <w:sz w:val="24"/>
              </w:rPr>
            </w:pPr>
            <w:bookmarkStart w:id="63" w:name="_Toc17314"/>
            <w:r>
              <w:rPr>
                <w:rFonts w:eastAsia="方正仿宋简体" w:cs="Times New Roman"/>
                <w:bCs/>
                <w:sz w:val="24"/>
              </w:rPr>
              <w:t>预期性</w:t>
            </w:r>
            <w:bookmarkEnd w:id="6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497" w:type="pct"/>
            <w:vMerge w:val="continue"/>
            <w:vAlign w:val="center"/>
          </w:tcPr>
          <w:p>
            <w:pPr>
              <w:spacing w:line="340" w:lineRule="exact"/>
              <w:ind w:firstLine="0" w:firstLineChars="0"/>
              <w:jc w:val="center"/>
              <w:rPr>
                <w:rFonts w:eastAsia="方正仿宋简体" w:cs="Times New Roman"/>
                <w:bCs/>
                <w:sz w:val="24"/>
              </w:rPr>
            </w:pPr>
          </w:p>
        </w:tc>
        <w:tc>
          <w:tcPr>
            <w:tcW w:w="435"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19</w:t>
            </w:r>
          </w:p>
        </w:tc>
        <w:tc>
          <w:tcPr>
            <w:tcW w:w="2262" w:type="pct"/>
            <w:tcMar>
              <w:top w:w="15" w:type="dxa"/>
              <w:left w:w="27" w:type="dxa"/>
              <w:bottom w:w="0" w:type="dxa"/>
              <w:right w:w="27" w:type="dxa"/>
            </w:tcMar>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森林覆盖率（%）</w:t>
            </w:r>
          </w:p>
        </w:tc>
        <w:tc>
          <w:tcPr>
            <w:tcW w:w="509" w:type="pct"/>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52.76</w:t>
            </w:r>
          </w:p>
        </w:tc>
        <w:tc>
          <w:tcPr>
            <w:tcW w:w="633" w:type="pct"/>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52.77</w:t>
            </w:r>
          </w:p>
        </w:tc>
        <w:tc>
          <w:tcPr>
            <w:tcW w:w="662" w:type="pct"/>
            <w:vAlign w:val="center"/>
          </w:tcPr>
          <w:p>
            <w:pPr>
              <w:spacing w:line="340" w:lineRule="exact"/>
              <w:ind w:firstLine="0" w:firstLineChars="0"/>
              <w:jc w:val="center"/>
              <w:outlineLvl w:val="3"/>
              <w:rPr>
                <w:rFonts w:eastAsia="方正仿宋简体" w:cs="Times New Roman"/>
                <w:bCs/>
                <w:sz w:val="24"/>
              </w:rPr>
            </w:pPr>
            <w:r>
              <w:rPr>
                <w:rFonts w:eastAsia="方正仿宋简体" w:cs="Times New Roman"/>
                <w:bCs/>
                <w:sz w:val="24"/>
              </w:rPr>
              <w:t>约束性</w:t>
            </w:r>
          </w:p>
        </w:tc>
      </w:tr>
      <w:bookmarkEnd w:id="6"/>
      <w:bookmarkEnd w:id="7"/>
      <w:bookmarkEnd w:id="8"/>
      <w:bookmarkEnd w:id="9"/>
      <w:bookmarkEnd w:id="10"/>
      <w:bookmarkEnd w:id="11"/>
      <w:bookmarkEnd w:id="40"/>
    </w:tbl>
    <w:p>
      <w:pPr>
        <w:pStyle w:val="3"/>
        <w:numPr>
          <w:ilvl w:val="0"/>
          <w:numId w:val="1"/>
        </w:numPr>
        <w:spacing w:line="550" w:lineRule="exact"/>
        <w:rPr>
          <w:rFonts w:ascii="方正小标宋简体" w:eastAsia="方正小标宋简体" w:cs="Times New Roman"/>
        </w:rPr>
      </w:pPr>
      <w:bookmarkStart w:id="64" w:name="_Toc157760707"/>
      <w:bookmarkStart w:id="65" w:name="_Toc1615"/>
      <w:bookmarkStart w:id="66" w:name="_Toc1812"/>
      <w:bookmarkStart w:id="67" w:name="_Toc26072"/>
      <w:bookmarkStart w:id="68" w:name="_Toc5597"/>
      <w:r>
        <w:rPr>
          <w:rFonts w:hint="eastAsia" w:ascii="方正小标宋简体" w:eastAsia="方正小标宋简体" w:cs="Times New Roman"/>
        </w:rPr>
        <w:t>高质量发展，促进经济社会绿色转型</w:t>
      </w:r>
      <w:bookmarkEnd w:id="64"/>
      <w:bookmarkEnd w:id="65"/>
      <w:bookmarkEnd w:id="66"/>
      <w:bookmarkEnd w:id="67"/>
      <w:bookmarkEnd w:id="68"/>
    </w:p>
    <w:p>
      <w:pPr>
        <w:spacing w:line="520" w:lineRule="exact"/>
        <w:ind w:firstLine="640"/>
      </w:pPr>
    </w:p>
    <w:p>
      <w:pPr>
        <w:spacing w:line="520" w:lineRule="exact"/>
        <w:ind w:firstLine="640"/>
        <w:rPr>
          <w:rFonts w:eastAsia="方正仿宋简体" w:cs="Times New Roman"/>
        </w:rPr>
      </w:pPr>
      <w:r>
        <w:rPr>
          <w:rFonts w:eastAsia="方正仿宋简体" w:cs="Times New Roman"/>
        </w:rPr>
        <w:t>抢抓</w:t>
      </w:r>
      <w:r>
        <w:rPr>
          <w:rFonts w:hint="eastAsia" w:ascii="方正仿宋简体" w:eastAsia="方正仿宋简体" w:cs="Times New Roman"/>
        </w:rPr>
        <w:t>“双区”</w:t>
      </w:r>
      <w:r>
        <w:rPr>
          <w:rFonts w:eastAsia="方正仿宋简体" w:cs="Times New Roman"/>
        </w:rPr>
        <w:t>和横琴、前海两个合作区建设以及构建</w:t>
      </w:r>
      <w:r>
        <w:rPr>
          <w:rFonts w:hint="eastAsia" w:ascii="方正仿宋简体" w:eastAsia="方正仿宋简体" w:cs="Times New Roman"/>
        </w:rPr>
        <w:t>“一核一带一区”</w:t>
      </w:r>
      <w:r>
        <w:rPr>
          <w:rFonts w:eastAsia="方正仿宋简体" w:cs="Times New Roman"/>
        </w:rPr>
        <w:t>区域发展格局等重大机遇，以绿色低碳为引领，围绕产业转型升级、资源能源高效利用和应对气候变化等重点领域，促进经济社会发展全面绿色转型。</w:t>
      </w:r>
    </w:p>
    <w:p>
      <w:pPr>
        <w:pStyle w:val="2"/>
        <w:spacing w:line="520" w:lineRule="exact"/>
        <w:ind w:firstLine="480"/>
      </w:pPr>
    </w:p>
    <w:p>
      <w:pPr>
        <w:pStyle w:val="4"/>
        <w:spacing w:before="0" w:beforeLines="0" w:line="520" w:lineRule="exact"/>
        <w:rPr>
          <w:rFonts w:ascii="黑体" w:hAnsi="黑体" w:eastAsia="黑体" w:cs="Times New Roman"/>
        </w:rPr>
      </w:pPr>
      <w:bookmarkStart w:id="69" w:name="_Toc9819"/>
      <w:bookmarkStart w:id="70" w:name="_Toc26586"/>
      <w:bookmarkStart w:id="71" w:name="_Toc6816"/>
      <w:bookmarkStart w:id="72" w:name="_Toc8411"/>
      <w:bookmarkStart w:id="73" w:name="_Toc157760708"/>
      <w:r>
        <w:rPr>
          <w:rFonts w:ascii="黑体" w:hAnsi="黑体" w:eastAsia="黑体" w:cs="Times New Roman"/>
        </w:rPr>
        <w:t>第一节 加快产业绿色转型升级</w:t>
      </w:r>
      <w:bookmarkEnd w:id="69"/>
      <w:bookmarkEnd w:id="70"/>
      <w:bookmarkEnd w:id="71"/>
      <w:bookmarkEnd w:id="72"/>
      <w:bookmarkEnd w:id="73"/>
    </w:p>
    <w:p>
      <w:pPr>
        <w:spacing w:line="520" w:lineRule="exact"/>
        <w:ind w:firstLine="640"/>
      </w:pPr>
    </w:p>
    <w:p>
      <w:pPr>
        <w:numPr>
          <w:ilvl w:val="0"/>
          <w:numId w:val="2"/>
        </w:numPr>
        <w:spacing w:line="520" w:lineRule="exact"/>
        <w:ind w:firstLine="640"/>
        <w:rPr>
          <w:rFonts w:eastAsia="方正仿宋简体" w:cs="Times New Roman"/>
        </w:rPr>
      </w:pPr>
      <w:r>
        <w:rPr>
          <w:rFonts w:eastAsia="方正楷体简体" w:cs="Times New Roman"/>
        </w:rPr>
        <w:t>推进传统制造业绿色化改造。</w:t>
      </w:r>
      <w:r>
        <w:rPr>
          <w:rFonts w:eastAsia="方正仿宋简体" w:cs="Times New Roman"/>
        </w:rPr>
        <w:t>实施清洁生产、能效提升、循环利用等技术升级，推进制造业绿色化改造，推动五金、食品等支柱产业和服装、建材、木器等传统产业优化调整、转型升级，向高端、绿色、低碳方向发展。以阳东经济开发区创建国家级经济技术开发区为抓手，推进省循环化改造试点园区建设，实施</w:t>
      </w:r>
      <w:r>
        <w:rPr>
          <w:rFonts w:hint="eastAsia" w:ascii="方正仿宋简体" w:eastAsia="方正仿宋简体" w:cs="Times New Roman"/>
        </w:rPr>
        <w:t>“一园一策”</w:t>
      </w:r>
      <w:r>
        <w:rPr>
          <w:rFonts w:eastAsia="方正仿宋简体" w:cs="Times New Roman"/>
        </w:rPr>
        <w:t>，提升园区能源清洁化利用和固体废物等污染物收集处置能力，全面提升发展质量和环境治理水平。推行低碳环保生产理念，推进绿色制造，开展绿色设计、绿色供应链示范和绿色工厂创建，发挥企业的带动作用。进一步推广强制性清洁生产审核、自愿性清洁生产审核，淘汰高消耗、高污染、高环境风险的工艺和设备。</w:t>
      </w:r>
    </w:p>
    <w:p>
      <w:pPr>
        <w:numPr>
          <w:ilvl w:val="0"/>
          <w:numId w:val="2"/>
        </w:numPr>
        <w:spacing w:line="520" w:lineRule="exact"/>
        <w:ind w:firstLine="640"/>
        <w:rPr>
          <w:rFonts w:eastAsia="方正仿宋简体" w:cs="Times New Roman"/>
        </w:rPr>
      </w:pPr>
      <w:r>
        <w:rPr>
          <w:rFonts w:eastAsia="方正楷体简体" w:cs="Times New Roman"/>
        </w:rPr>
        <w:t>提高新兴产业绿色发展水平。</w:t>
      </w:r>
      <w:r>
        <w:rPr>
          <w:rFonts w:eastAsia="方正仿宋简体" w:cs="Times New Roman"/>
        </w:rPr>
        <w:t>在推动传统产业转型升级的基础上，加快构建现代</w:t>
      </w:r>
      <w:r>
        <w:rPr>
          <w:rFonts w:hint="eastAsia" w:eastAsia="方正仿宋简体" w:cs="Times New Roman"/>
          <w:lang w:eastAsia="zh-CN"/>
        </w:rPr>
        <w:t>化</w:t>
      </w:r>
      <w:bookmarkStart w:id="220" w:name="_GoBack"/>
      <w:bookmarkEnd w:id="220"/>
      <w:r>
        <w:rPr>
          <w:rFonts w:eastAsia="方正仿宋简体" w:cs="Times New Roman"/>
        </w:rPr>
        <w:t>产业体系，促进产业逐步迈向价值链中高端，不断提升新兴产业绿色发展水平。培育发展核电、风电、太阳能发电、潮汐能发电等能源装备及配套产业，大力发展输变电装备制造业。以东平、新洲、北惯、大沟等镇为依托，以共建</w:t>
      </w:r>
      <w:r>
        <w:rPr>
          <w:rFonts w:hint="eastAsia" w:ascii="方正仿宋简体" w:eastAsia="方正仿宋简体" w:cs="Times New Roman"/>
        </w:rPr>
        <w:t>“产业飞地”</w:t>
      </w:r>
      <w:r>
        <w:rPr>
          <w:rFonts w:eastAsia="方正仿宋简体" w:cs="Times New Roman"/>
        </w:rPr>
        <w:t>的模式，积极引进港澳及深圳、广州的人工智能技术资源，积极发展智能制造产业。加快打造高品质紧固件、机械装备和电子电器三大超百亿元产业集群。利用现有产业基础，继续大力发展新能源产业，推动近海深水区200万千瓦海上风电项目开工建设，建设大湾区重要的清洁能源供应基地。</w:t>
      </w:r>
    </w:p>
    <w:p>
      <w:pPr>
        <w:numPr>
          <w:ilvl w:val="0"/>
          <w:numId w:val="2"/>
        </w:numPr>
        <w:spacing w:line="520" w:lineRule="exact"/>
        <w:ind w:firstLine="640"/>
        <w:rPr>
          <w:rFonts w:eastAsia="方正仿宋简体" w:cs="Times New Roman"/>
        </w:rPr>
      </w:pPr>
      <w:r>
        <w:rPr>
          <w:rFonts w:eastAsia="方正楷体简体" w:cs="Times New Roman"/>
        </w:rPr>
        <w:t>发展壮大节能环保产业。</w:t>
      </w:r>
      <w:r>
        <w:rPr>
          <w:rFonts w:eastAsia="方正仿宋简体" w:cs="Times New Roman"/>
        </w:rPr>
        <w:t>加强对环保产业的政府引导，提升扶持环保产业发展的财政、信贷、土地等政策制定和执行能力，加大对企业绿色技术创新的支持力度，充分发挥市场在绿色发展资源配置中的决定性作用。大力发展环保装备制造业，</w:t>
      </w:r>
      <w:r>
        <w:rPr>
          <w:rFonts w:eastAsia="方正仿宋简体" w:cs="Times New Roman"/>
          <w:szCs w:val="32"/>
        </w:rPr>
        <w:t>重点培育龙头骨干企业。培育发展节能和环境服务业，推动节能环保技术咨询、系统设计、设备制造、工程施工等专业化服务综合发展，在漠阳江、那龙河等重点流域和</w:t>
      </w:r>
      <w:r>
        <w:rPr>
          <w:rFonts w:eastAsia="方正仿宋简体" w:cs="Times New Roman"/>
        </w:rPr>
        <w:t>珠海（阳江万象）产业转移工业园等产业园区</w:t>
      </w:r>
      <w:r>
        <w:rPr>
          <w:rFonts w:eastAsia="方正仿宋简体" w:cs="Times New Roman"/>
          <w:szCs w:val="32"/>
        </w:rPr>
        <w:t>积极探索环境污染第三方治理一体化服务模式。</w:t>
      </w:r>
    </w:p>
    <w:p>
      <w:pPr>
        <w:numPr>
          <w:ilvl w:val="0"/>
          <w:numId w:val="2"/>
        </w:numPr>
        <w:spacing w:line="520" w:lineRule="exact"/>
        <w:ind w:firstLine="640"/>
        <w:rPr>
          <w:rFonts w:eastAsia="方正仿宋简体" w:cs="Times New Roman"/>
          <w:szCs w:val="32"/>
        </w:rPr>
      </w:pPr>
      <w:r>
        <w:rPr>
          <w:rFonts w:eastAsia="方正楷体简体" w:cs="Times New Roman"/>
        </w:rPr>
        <w:t>提供更多优质生态产品。</w:t>
      </w:r>
      <w:r>
        <w:rPr>
          <w:rFonts w:eastAsia="方正仿宋简体" w:cs="Times New Roman"/>
        </w:rPr>
        <w:t>依托生态资源优势，推进生态产业化。加快发展现代生态农业，推动10万亩连片海水养殖、30万亩亚热带水果和5万亩南药等现代农业产业园建设，集中培育发展优质水稻、水果、南药、蔬菜、畜禽、水产、花卉等优势特色产业，加强农业科技成果转化和推广应用，推动传统农业向绿色有机农业转变，保护地理标志农产品，努力打造粤港澳大湾区优质特色农产品供应基地。以区域资源禀赋、生态环境等为基础，打造高品质全域旅游产品。依托东平镇、雅韶镇和大沟镇海洋、沙滩、古村落等特色资源以及核电、陆（海）上风电等特色产业，建设南部滨海旅游片区；依托东城镇、北惯镇、合山镇、那龙镇和新洲镇的湖泊、温泉和城镇特色资源，建设中部休闲养生片区；依托大八镇、塘坪镇和红丰镇的山地、山林、乡村、水库等特色资源，建设北部生态旅游片区。</w:t>
      </w:r>
      <w:r>
        <w:rPr>
          <w:rFonts w:eastAsia="方正仿宋简体" w:cs="Times New Roman"/>
          <w:szCs w:val="32"/>
        </w:rPr>
        <w:t>依托本地丰富的南药种植、海洋生物医药等资源，促进中医药、医疗服务、健康养生产业加快发展，打造环大湾区重要的康养基地。</w:t>
      </w:r>
    </w:p>
    <w:p>
      <w:pPr>
        <w:pStyle w:val="2"/>
        <w:spacing w:line="520" w:lineRule="exact"/>
        <w:ind w:firstLine="480"/>
      </w:pPr>
    </w:p>
    <w:p>
      <w:pPr>
        <w:pStyle w:val="4"/>
        <w:spacing w:before="0" w:beforeLines="0" w:line="520" w:lineRule="exact"/>
        <w:rPr>
          <w:rFonts w:ascii="黑体" w:hAnsi="黑体" w:eastAsia="黑体" w:cs="Times New Roman"/>
        </w:rPr>
      </w:pPr>
      <w:bookmarkStart w:id="74" w:name="_Toc23312"/>
      <w:bookmarkStart w:id="75" w:name="_Toc29740"/>
      <w:bookmarkStart w:id="76" w:name="_Toc24939"/>
      <w:bookmarkStart w:id="77" w:name="_Toc157760709"/>
      <w:bookmarkStart w:id="78" w:name="_Toc29068"/>
      <w:r>
        <w:rPr>
          <w:rFonts w:ascii="黑体" w:hAnsi="黑体" w:eastAsia="黑体" w:cs="Times New Roman"/>
        </w:rPr>
        <w:t>第二节 推进资源能源高效利用</w:t>
      </w:r>
      <w:bookmarkEnd w:id="74"/>
      <w:bookmarkEnd w:id="75"/>
      <w:bookmarkEnd w:id="76"/>
      <w:bookmarkEnd w:id="77"/>
      <w:bookmarkEnd w:id="78"/>
    </w:p>
    <w:p>
      <w:pPr>
        <w:spacing w:line="520" w:lineRule="exact"/>
        <w:ind w:firstLine="640"/>
      </w:pPr>
    </w:p>
    <w:p>
      <w:pPr>
        <w:numPr>
          <w:ilvl w:val="0"/>
          <w:numId w:val="3"/>
        </w:numPr>
        <w:spacing w:line="520" w:lineRule="exact"/>
        <w:ind w:firstLine="640"/>
        <w:rPr>
          <w:rFonts w:eastAsia="方正仿宋简体" w:cs="Times New Roman"/>
        </w:rPr>
      </w:pPr>
      <w:r>
        <w:rPr>
          <w:rFonts w:eastAsia="方正楷体简体" w:cs="Times New Roman"/>
        </w:rPr>
        <w:t>深化水资源节约利用。</w:t>
      </w:r>
      <w:r>
        <w:rPr>
          <w:rFonts w:eastAsia="方正仿宋简体" w:cs="Times New Roman"/>
        </w:rPr>
        <w:t>落实</w:t>
      </w:r>
      <w:r>
        <w:rPr>
          <w:rFonts w:hint="eastAsia" w:ascii="方正仿宋简体" w:eastAsia="方正仿宋简体" w:cs="Times New Roman"/>
        </w:rPr>
        <w:t>“节水优先”国家战略，实施最严格的水资源管理制度，严格落实用水总量与强度双控机制，强化计划用水和节水“三同时”管</w:t>
      </w:r>
      <w:r>
        <w:rPr>
          <w:rFonts w:eastAsia="方正仿宋简体" w:cs="Times New Roman"/>
        </w:rPr>
        <w:t>理，持续提升水资源利用效率。巩固节水型社会建设成果，进一步推进农业节水、工业节水、城镇节水等节水行动，鼓励使用节水产品，把节约用水贯穿于经济社会发展和群众生产生活全过程。加强水资源回用，持续推进区内海绵城市建设，加强雨水收集和回用技术，推广再生水循环利用于农业灌溉、地下回灌、工业生产、市政非饮用水及景观环境等领域。切实保障区内漠阳江、那龙河等重要河流生态流量，加快编制生态流量保障方案，提高水资源调蓄能力，以那龙河、寿长河等水能资源开发强度大</w:t>
      </w:r>
      <w:r>
        <w:rPr>
          <w:rFonts w:hint="eastAsia" w:eastAsia="方正仿宋简体" w:cs="Times New Roman"/>
        </w:rPr>
        <w:t>且</w:t>
      </w:r>
      <w:r>
        <w:rPr>
          <w:rFonts w:eastAsia="方正仿宋简体" w:cs="Times New Roman"/>
        </w:rPr>
        <w:t>小水电建设数量较多的河流为主，开展小水电治理和绿色改造，因河施策保障河流生态流量。</w:t>
      </w:r>
    </w:p>
    <w:p>
      <w:pPr>
        <w:numPr>
          <w:ilvl w:val="0"/>
          <w:numId w:val="3"/>
        </w:numPr>
        <w:spacing w:line="520" w:lineRule="exact"/>
        <w:ind w:firstLine="640"/>
        <w:rPr>
          <w:rFonts w:eastAsia="方正仿宋简体" w:cs="Times New Roman"/>
        </w:rPr>
      </w:pPr>
      <w:r>
        <w:rPr>
          <w:rFonts w:eastAsia="方正楷体简体" w:cs="Times New Roman"/>
        </w:rPr>
        <w:t>强化能源高效利用。</w:t>
      </w:r>
      <w:r>
        <w:rPr>
          <w:rFonts w:eastAsia="方正仿宋简体" w:cs="Times New Roman"/>
        </w:rPr>
        <w:t>按照上级要求，逐步推动能耗</w:t>
      </w:r>
      <w:r>
        <w:rPr>
          <w:rFonts w:hint="eastAsia" w:ascii="方正仿宋简体" w:eastAsia="方正仿宋简体" w:cs="Times New Roman"/>
        </w:rPr>
        <w:t>“双控”</w:t>
      </w:r>
      <w:r>
        <w:rPr>
          <w:rFonts w:eastAsia="方正仿宋简体" w:cs="Times New Roman"/>
        </w:rPr>
        <w:t>向碳排放总量和强</w:t>
      </w:r>
      <w:r>
        <w:rPr>
          <w:rFonts w:hint="eastAsia" w:ascii="方正仿宋简体" w:eastAsia="方正仿宋简体" w:cs="Times New Roman"/>
        </w:rPr>
        <w:t>度“双控”</w:t>
      </w:r>
      <w:r>
        <w:rPr>
          <w:rFonts w:eastAsia="方正仿宋简体" w:cs="Times New Roman"/>
        </w:rPr>
        <w:t>转变。深入推进工业、建筑、交通、电力、公共机构等重点领域节能降耗工作，适时推进工业园区集中供气，强化阳江绿源人造板有限公司、阳江喜之郎果冻制造有限公司等重点用能单位节能管理，大力推进五金制造、电力能源、食品加工等重点行业企业开展清洁生产审核，鼓励企业生产全过程节能降耗减排。加强节能宣传，倡导绿色节能生活理念。推动能源绿色化、多元化发展，加快发展核电，有序发展气电，大力发展海上风电，继续大力发展新能源产业。</w:t>
      </w:r>
    </w:p>
    <w:p>
      <w:pPr>
        <w:numPr>
          <w:ilvl w:val="0"/>
          <w:numId w:val="3"/>
        </w:numPr>
        <w:spacing w:line="520" w:lineRule="exact"/>
        <w:ind w:firstLine="640"/>
        <w:rPr>
          <w:rFonts w:eastAsia="方正仿宋简体" w:cs="Times New Roman"/>
        </w:rPr>
      </w:pPr>
      <w:r>
        <w:rPr>
          <w:rFonts w:eastAsia="方正楷体简体" w:cs="Times New Roman"/>
        </w:rPr>
        <w:t>促进土地资源集约利用。</w:t>
      </w:r>
      <w:r>
        <w:rPr>
          <w:rFonts w:eastAsia="方正仿宋简体" w:cs="Times New Roman"/>
        </w:rPr>
        <w:t>实施</w:t>
      </w:r>
      <w:r>
        <w:rPr>
          <w:rFonts w:hint="eastAsia" w:ascii="方正仿宋简体" w:eastAsia="方正仿宋简体" w:cs="Times New Roman"/>
        </w:rPr>
        <w:t>“三区三线”</w:t>
      </w:r>
      <w:r>
        <w:rPr>
          <w:rFonts w:eastAsia="方正仿宋简体" w:cs="Times New Roman"/>
        </w:rPr>
        <w:t>管控，统筹利用建设用地，全面开展城乡建设用地增减挂钩工作，加强城市周边地区耕地、林地、湿地等保护。严控非农建设占用永久基本农田，严格保护永久基本农田，确保其面积不减少、土壤环境质量不下降。严格落实建设用地标准控制制度，凡不符合土地使用标准的建设项目，不予办理相关用地手续。加快低效产业用地转型升级，推动工业园区升级，强化园区用地储备，探索盘活和回收园区低效开发土地，为承接粤港澳大湾区的产业转移提供用地保障。</w:t>
      </w:r>
    </w:p>
    <w:p>
      <w:pPr>
        <w:pStyle w:val="2"/>
        <w:spacing w:line="520" w:lineRule="exact"/>
        <w:ind w:firstLine="480"/>
      </w:pPr>
    </w:p>
    <w:p>
      <w:pPr>
        <w:pStyle w:val="4"/>
        <w:spacing w:before="0" w:beforeLines="0" w:line="520" w:lineRule="exact"/>
        <w:rPr>
          <w:rFonts w:ascii="黑体" w:hAnsi="黑体" w:eastAsia="黑体" w:cs="Times New Roman"/>
        </w:rPr>
      </w:pPr>
      <w:bookmarkStart w:id="79" w:name="_Toc157760710"/>
      <w:bookmarkStart w:id="80" w:name="_Toc6352"/>
      <w:bookmarkStart w:id="81" w:name="_Toc7126"/>
      <w:bookmarkStart w:id="82" w:name="_Toc30038"/>
      <w:bookmarkStart w:id="83" w:name="_Toc16452"/>
      <w:r>
        <w:rPr>
          <w:rFonts w:ascii="黑体" w:hAnsi="黑体" w:eastAsia="黑体" w:cs="Times New Roman"/>
        </w:rPr>
        <w:t>第三节 提升应对气候变化能力</w:t>
      </w:r>
      <w:bookmarkEnd w:id="79"/>
      <w:bookmarkEnd w:id="80"/>
      <w:bookmarkEnd w:id="81"/>
      <w:bookmarkEnd w:id="82"/>
      <w:bookmarkEnd w:id="83"/>
    </w:p>
    <w:p>
      <w:pPr>
        <w:spacing w:line="520" w:lineRule="exact"/>
        <w:ind w:firstLine="640"/>
      </w:pPr>
    </w:p>
    <w:p>
      <w:pPr>
        <w:numPr>
          <w:ilvl w:val="0"/>
          <w:numId w:val="4"/>
        </w:numPr>
        <w:spacing w:line="520" w:lineRule="exact"/>
        <w:ind w:firstLine="640"/>
        <w:rPr>
          <w:rFonts w:eastAsia="方正仿宋简体" w:cs="Times New Roman"/>
        </w:rPr>
      </w:pPr>
      <w:r>
        <w:rPr>
          <w:rFonts w:eastAsia="方正楷体简体" w:cs="Times New Roman"/>
          <w:szCs w:val="22"/>
        </w:rPr>
        <w:t>实施碳排放达峰行动。</w:t>
      </w:r>
      <w:r>
        <w:rPr>
          <w:rFonts w:eastAsia="方正仿宋简体" w:cs="Times New Roman"/>
        </w:rPr>
        <w:t>按照上级工作部署，做好碳达峰、碳中和工作，编制实施阳东区二氧化碳达峰行动方案，细化分解工作任务，强化控制温室气体排放目标责任制，压实工作责任。</w:t>
      </w:r>
      <w:r>
        <w:rPr>
          <w:rFonts w:eastAsia="方正仿宋简体" w:cs="Times New Roman"/>
          <w:bCs/>
          <w:szCs w:val="32"/>
        </w:rPr>
        <w:t>加强温室气体和大气污染物协同控制，推动实现减污降碳协同效应。</w:t>
      </w:r>
      <w:r>
        <w:rPr>
          <w:rFonts w:eastAsia="方正仿宋简体" w:cs="Times New Roman"/>
        </w:rPr>
        <w:t>加强应对气候变化基础能力建设，强化数据采集、统计、监测等基础支撑，加强应对气候变化人才培养。抓好能源结构调整和工业节能降碳两大重点，在交通、建筑、企业等领域探索绿色低碳发展模式，推进城市碳排放精细化管理，全面实施低碳减排工作。以培育公众低碳意识为重点，加强政策宣传，践行绿色低碳、文明健康的生活方式和消费模式。</w:t>
      </w:r>
    </w:p>
    <w:p>
      <w:pPr>
        <w:numPr>
          <w:ilvl w:val="0"/>
          <w:numId w:val="4"/>
        </w:numPr>
        <w:spacing w:line="520" w:lineRule="exact"/>
        <w:ind w:firstLine="640"/>
        <w:rPr>
          <w:rFonts w:cs="Times New Roman"/>
        </w:rPr>
      </w:pPr>
      <w:r>
        <w:rPr>
          <w:rFonts w:eastAsia="方正楷体简体" w:cs="Times New Roman"/>
          <w:szCs w:val="22"/>
        </w:rPr>
        <w:t>加快绿色生活设施建设。</w:t>
      </w:r>
      <w:r>
        <w:rPr>
          <w:rFonts w:eastAsia="方正仿宋简体" w:cs="Times New Roman"/>
          <w:szCs w:val="32"/>
        </w:rPr>
        <w:t>推动</w:t>
      </w:r>
      <w:r>
        <w:rPr>
          <w:rFonts w:eastAsia="方正仿宋简体" w:cs="Times New Roman"/>
        </w:rPr>
        <w:t>物流货运、交通出行、交通工具的低碳化发展。积极发展公共交通，鼓励步行交通，完善公交专用道、非机动车和行人交通系统、行人过街设施。大力推进使用新能源公交车，推广使用新能源和清洁能源车辆，合理布置和建设新能源汽车充电基础设施。促进建筑节能和绿色建筑、装配式建筑、绿色建材发展。推广绿色低碳产品，积极生产和使用节水节能节材产品、再生产品，全面开展生活垃圾分类行动。</w:t>
      </w:r>
    </w:p>
    <w:p>
      <w:pPr>
        <w:numPr>
          <w:ilvl w:val="0"/>
          <w:numId w:val="4"/>
        </w:numPr>
        <w:spacing w:line="520" w:lineRule="exact"/>
        <w:ind w:firstLine="640"/>
        <w:rPr>
          <w:rFonts w:eastAsia="方正仿宋简体" w:cs="Times New Roman"/>
        </w:rPr>
      </w:pPr>
      <w:r>
        <w:rPr>
          <w:rFonts w:eastAsia="方正楷体简体" w:cs="Times New Roman"/>
        </w:rPr>
        <w:t>增强气候变化适应能力</w:t>
      </w:r>
      <w:r>
        <w:rPr>
          <w:rFonts w:eastAsia="方正楷体简体" w:cs="Times New Roman"/>
          <w:szCs w:val="22"/>
        </w:rPr>
        <w:t>。</w:t>
      </w:r>
      <w:r>
        <w:rPr>
          <w:rFonts w:eastAsia="方正仿宋简体" w:cs="Times New Roman"/>
        </w:rPr>
        <w:t>将适应气候变化理念落实到城市规划、建设与管理中，探索建设韧性城市。积极开展海洋预报减灾领域应对气候变化行动，提高海洋气候监测预测水平，强化气候变化</w:t>
      </w:r>
      <w:r>
        <w:rPr>
          <w:rFonts w:eastAsia="方正仿宋简体" w:cs="Times New Roman"/>
          <w:szCs w:val="32"/>
        </w:rPr>
        <w:t>对台风等自然灾害变化影响评估，提升防台减灾工作应急管理水平以及应对极端天气和气候事件的能力</w:t>
      </w:r>
      <w:r>
        <w:rPr>
          <w:rFonts w:eastAsia="方正仿宋简体" w:cs="Times New Roman"/>
        </w:rPr>
        <w:t>。积极推进创建国家森林城市工作，着力保护好西北部水源涵养与生态旅游发展区、南部水土保持与特色经济林发展区、中部城区森林景观区和东北部生态景观林区，加强沿海和河口地区滩涂湿地资源的保护，加大海岸带红树林保护与建设力度，</w:t>
      </w:r>
      <w:r>
        <w:rPr>
          <w:rFonts w:eastAsia="方正仿宋简体" w:cs="Times New Roman"/>
          <w:szCs w:val="32"/>
        </w:rPr>
        <w:t>增强生态系统固碳功能，提升各类自然资源碳汇水平，到2025年，</w:t>
      </w:r>
      <w:r>
        <w:rPr>
          <w:rFonts w:eastAsia="方正仿宋简体" w:cs="Times New Roman"/>
        </w:rPr>
        <w:t>全区森林覆盖率达到52.77%</w:t>
      </w:r>
      <w:r>
        <w:rPr>
          <w:rFonts w:eastAsia="方正仿宋简体" w:cs="Times New Roman"/>
          <w:szCs w:val="32"/>
        </w:rPr>
        <w:t>。</w:t>
      </w:r>
    </w:p>
    <w:p>
      <w:pPr>
        <w:spacing w:line="540" w:lineRule="exact"/>
        <w:ind w:firstLine="640"/>
        <w:rPr>
          <w:rFonts w:cs="Times New Roman"/>
        </w:rPr>
        <w:sectPr>
          <w:pgSz w:w="11906" w:h="16838"/>
          <w:pgMar w:top="1814" w:right="1531" w:bottom="1814" w:left="1531" w:header="567" w:footer="1531" w:gutter="0"/>
          <w:cols w:space="425" w:num="1"/>
          <w:docGrid w:type="lines" w:linePitch="435" w:charSpace="0"/>
        </w:sectPr>
      </w:pPr>
    </w:p>
    <w:p>
      <w:pPr>
        <w:pStyle w:val="3"/>
        <w:numPr>
          <w:ilvl w:val="0"/>
          <w:numId w:val="1"/>
        </w:numPr>
        <w:rPr>
          <w:rFonts w:ascii="方正小标宋简体" w:eastAsia="方正小标宋简体" w:cs="Times New Roman"/>
        </w:rPr>
      </w:pPr>
      <w:bookmarkStart w:id="84" w:name="_Toc3773"/>
      <w:bookmarkStart w:id="85" w:name="_Toc29684"/>
      <w:bookmarkStart w:id="86" w:name="_Toc157760711"/>
      <w:bookmarkStart w:id="87" w:name="_Toc24745"/>
      <w:bookmarkStart w:id="88" w:name="_Toc22657"/>
      <w:r>
        <w:rPr>
          <w:rFonts w:hint="eastAsia" w:ascii="方正小标宋简体" w:eastAsia="方正小标宋简体" w:cs="Times New Roman"/>
        </w:rPr>
        <w:t>高水平保护，落实生态环境空间管控</w:t>
      </w:r>
      <w:bookmarkEnd w:id="84"/>
      <w:bookmarkEnd w:id="85"/>
      <w:bookmarkEnd w:id="86"/>
      <w:bookmarkEnd w:id="87"/>
      <w:bookmarkEnd w:id="88"/>
    </w:p>
    <w:p>
      <w:pPr>
        <w:spacing w:line="520" w:lineRule="exact"/>
        <w:ind w:firstLine="640"/>
      </w:pPr>
    </w:p>
    <w:p>
      <w:pPr>
        <w:spacing w:line="520" w:lineRule="exact"/>
        <w:ind w:firstLine="640"/>
        <w:rPr>
          <w:rFonts w:eastAsia="方正仿宋简体" w:cs="Times New Roman"/>
        </w:rPr>
      </w:pPr>
      <w:r>
        <w:rPr>
          <w:rFonts w:eastAsia="方正仿宋简体" w:cs="Times New Roman"/>
        </w:rPr>
        <w:t>强化源头防控，严格生态环境空间管控，实施</w:t>
      </w:r>
      <w:r>
        <w:rPr>
          <w:rFonts w:hint="eastAsia" w:ascii="方正仿宋简体" w:eastAsia="方正仿宋简体" w:cs="Times New Roman"/>
        </w:rPr>
        <w:t>“一轴一带、一核三区</w:t>
      </w:r>
      <w:r>
        <w:rPr>
          <w:rStyle w:val="25"/>
          <w:rFonts w:eastAsia="方正仿宋简体" w:cs="Times New Roman"/>
        </w:rPr>
        <w:footnoteReference w:id="6"/>
      </w:r>
      <w:r>
        <w:rPr>
          <w:rFonts w:hint="eastAsia" w:ascii="方正仿宋简体" w:eastAsia="方正仿宋简体" w:cs="Times New Roman"/>
        </w:rPr>
        <w:t>”</w:t>
      </w:r>
      <w:r>
        <w:rPr>
          <w:rFonts w:eastAsia="方正仿宋简体" w:cs="Times New Roman"/>
        </w:rPr>
        <w:t>空间发展战略，优化生产生活生态空间布局，以生态环境高水平保护促进经济高质量发展，着力构建阳东区绿色低碳协调发展新格局。</w:t>
      </w:r>
    </w:p>
    <w:p>
      <w:pPr>
        <w:pStyle w:val="2"/>
        <w:spacing w:line="520" w:lineRule="exact"/>
        <w:ind w:firstLine="480"/>
      </w:pPr>
    </w:p>
    <w:p>
      <w:pPr>
        <w:pStyle w:val="4"/>
        <w:spacing w:before="0" w:beforeLines="0" w:line="520" w:lineRule="exact"/>
        <w:rPr>
          <w:rFonts w:ascii="黑体" w:hAnsi="黑体" w:eastAsia="黑体" w:cs="Times New Roman"/>
        </w:rPr>
      </w:pPr>
      <w:bookmarkStart w:id="89" w:name="_Toc12248"/>
      <w:bookmarkStart w:id="90" w:name="_Toc23367"/>
      <w:bookmarkStart w:id="91" w:name="_Toc1990"/>
      <w:bookmarkStart w:id="92" w:name="_Toc157760712"/>
      <w:bookmarkStart w:id="93" w:name="_Toc17861"/>
      <w:bookmarkStart w:id="94" w:name="_Toc5176"/>
      <w:bookmarkStart w:id="95" w:name="_Toc8823"/>
      <w:r>
        <w:rPr>
          <w:rFonts w:ascii="黑体" w:hAnsi="黑体" w:eastAsia="黑体" w:cs="Times New Roman"/>
        </w:rPr>
        <w:t>第一节 实施“一轴一带、一核三区”空间发展战略</w:t>
      </w:r>
      <w:bookmarkEnd w:id="89"/>
      <w:bookmarkEnd w:id="90"/>
      <w:bookmarkEnd w:id="91"/>
      <w:bookmarkEnd w:id="92"/>
      <w:bookmarkEnd w:id="93"/>
    </w:p>
    <w:p>
      <w:pPr>
        <w:spacing w:line="520" w:lineRule="exact"/>
        <w:ind w:firstLine="640"/>
      </w:pPr>
    </w:p>
    <w:p>
      <w:pPr>
        <w:numPr>
          <w:ilvl w:val="0"/>
          <w:numId w:val="5"/>
        </w:numPr>
        <w:spacing w:line="520" w:lineRule="exact"/>
        <w:ind w:firstLine="640"/>
        <w:rPr>
          <w:rFonts w:eastAsia="方正仿宋简体" w:cs="Times New Roman"/>
        </w:rPr>
      </w:pPr>
      <w:r>
        <w:rPr>
          <w:rFonts w:eastAsia="方正楷体简体" w:cs="Times New Roman"/>
        </w:rPr>
        <w:t>统筹优化区域空间布局和合理利用。</w:t>
      </w:r>
      <w:r>
        <w:rPr>
          <w:rFonts w:eastAsia="方正仿宋简体" w:cs="Times New Roman"/>
        </w:rPr>
        <w:t>以国土空间规划为抓手，优化</w:t>
      </w:r>
      <w:r>
        <w:rPr>
          <w:rFonts w:hint="eastAsia" w:ascii="方正仿宋简体" w:eastAsia="方正仿宋简体" w:cs="Times New Roman"/>
        </w:rPr>
        <w:t>“一轴一带、一核三区”</w:t>
      </w:r>
      <w:r>
        <w:rPr>
          <w:rFonts w:eastAsia="方正仿宋简体" w:cs="Times New Roman"/>
        </w:rPr>
        <w:t>空间发展格局，因地制宜推动北部农业经济发展区（包括红丰、塘坪、大八镇）、中部工业经济发展区（包括东城、北惯、合山、新洲、那龙镇）和南部海洋经济发展区（包括雅韶、大沟、东平镇）区域协同发展，</w:t>
      </w:r>
      <w:r>
        <w:rPr>
          <w:rFonts w:eastAsia="方正仿宋简体" w:cs="Times New Roman"/>
          <w:szCs w:val="32"/>
        </w:rPr>
        <w:t>统筹考虑重大战略规划用地用海需求</w:t>
      </w:r>
      <w:r>
        <w:rPr>
          <w:rFonts w:eastAsia="方正仿宋简体" w:cs="Times New Roman"/>
        </w:rPr>
        <w:t>，明确产业空间增长边界。将绿色发展理念应用于城市规划建设管理全过程，打造阳江东部宜居样板区。</w:t>
      </w:r>
    </w:p>
    <w:p>
      <w:pPr>
        <w:numPr>
          <w:ilvl w:val="0"/>
          <w:numId w:val="5"/>
        </w:numPr>
        <w:spacing w:line="520" w:lineRule="exact"/>
        <w:ind w:firstLine="640"/>
        <w:rPr>
          <w:rFonts w:eastAsia="方正仿宋简体" w:cs="Times New Roman"/>
        </w:rPr>
      </w:pPr>
      <w:r>
        <w:rPr>
          <w:rFonts w:eastAsia="方正楷体简体" w:cs="Times New Roman"/>
        </w:rPr>
        <w:t>优化海域空间布局。</w:t>
      </w:r>
      <w:r>
        <w:rPr>
          <w:rFonts w:eastAsia="方正仿宋简体" w:cs="Times New Roman"/>
        </w:rPr>
        <w:t>强化自然岸线保护，实施自然岸线占补平衡制度。除国家重大战略外，全面禁止围填海。以岸线、海域、海岛为重点，以分区分类管控为抓手，建立岸线分类管控和长效管护机制，进一步规范海洋开发利用秩序，提升城镇生活岸段、工业岸段、旅游娱乐岸段、农渔业岸段利用水平。加强县级海域动态监管能力建设，持续组织开展以巡航监视、监管和执法，严厉打击破坏海洋环境和资源的违法犯罪活动，依法维护海洋环境管理的正常秩序。</w:t>
      </w:r>
    </w:p>
    <w:p>
      <w:pPr>
        <w:pStyle w:val="2"/>
        <w:spacing w:line="300" w:lineRule="exact"/>
        <w:ind w:firstLine="480"/>
      </w:pPr>
    </w:p>
    <w:p>
      <w:pPr>
        <w:pStyle w:val="4"/>
        <w:spacing w:before="0" w:beforeLines="0" w:line="520" w:lineRule="exact"/>
        <w:rPr>
          <w:rFonts w:ascii="黑体" w:hAnsi="黑体" w:eastAsia="黑体" w:cs="Times New Roman"/>
        </w:rPr>
      </w:pPr>
      <w:bookmarkStart w:id="96" w:name="_Toc157760713"/>
      <w:bookmarkStart w:id="97" w:name="_Toc510"/>
      <w:bookmarkStart w:id="98" w:name="_Toc20643"/>
      <w:r>
        <w:rPr>
          <w:rFonts w:ascii="黑体" w:hAnsi="黑体" w:eastAsia="黑体" w:cs="Times New Roman"/>
        </w:rPr>
        <w:t>第二节 落实生态环境分区管控</w:t>
      </w:r>
      <w:bookmarkEnd w:id="94"/>
      <w:bookmarkEnd w:id="95"/>
      <w:bookmarkEnd w:id="96"/>
      <w:bookmarkEnd w:id="97"/>
      <w:bookmarkEnd w:id="98"/>
    </w:p>
    <w:p>
      <w:pPr>
        <w:spacing w:line="300" w:lineRule="exact"/>
        <w:ind w:firstLine="640"/>
      </w:pPr>
    </w:p>
    <w:p>
      <w:pPr>
        <w:spacing w:line="520" w:lineRule="exact"/>
        <w:ind w:firstLine="640"/>
        <w:rPr>
          <w:rFonts w:eastAsia="方正仿宋简体" w:cs="Times New Roman"/>
        </w:rPr>
      </w:pPr>
      <w:r>
        <w:rPr>
          <w:rFonts w:eastAsia="方正楷体简体" w:cs="Times New Roman"/>
        </w:rPr>
        <w:t>（一）严格生态环境准入。</w:t>
      </w:r>
      <w:r>
        <w:rPr>
          <w:rFonts w:eastAsia="方正仿宋简体" w:cs="Times New Roman"/>
        </w:rPr>
        <w:t>严格落实《阳江市</w:t>
      </w:r>
      <w:r>
        <w:rPr>
          <w:rFonts w:hint="eastAsia" w:ascii="方正仿宋简体" w:eastAsia="方正仿宋简体" w:cs="Times New Roman"/>
        </w:rPr>
        <w:t>“三线一单”</w:t>
      </w:r>
      <w:r>
        <w:rPr>
          <w:rFonts w:eastAsia="方正仿宋简体" w:cs="Times New Roman"/>
        </w:rPr>
        <w:t>生态环境分区管控方案》，阳东区共划定13个环境管控单元，包括6个优先保护单元、4个重点管控单元和3个一般管控单元。优先保护单元以维护生态系统功能为主，禁止或限制大规模、高强度的工业和城镇建设；重点管控单元进一步推动产业转型升级、强化污染减排、提升资源利用效率；一般管控单元执行区域生态环境保护的基本要求。将</w:t>
      </w:r>
      <w:r>
        <w:rPr>
          <w:rFonts w:hint="eastAsia" w:ascii="方正仿宋简体" w:eastAsia="方正仿宋简体" w:cs="Times New Roman"/>
        </w:rPr>
        <w:t>“三线一单”</w:t>
      </w:r>
      <w:r>
        <w:rPr>
          <w:rFonts w:eastAsia="方正仿宋简体" w:cs="Times New Roman"/>
        </w:rPr>
        <w:t>相关要求作为规划资源开发、产业布局和结构调整、城镇建设以及重大项目选址的重要依据，并在政策制定、规划编制、执法监管过程中做好应用。根据市工作部署，做</w:t>
      </w:r>
      <w:r>
        <w:rPr>
          <w:rFonts w:hint="eastAsia" w:ascii="方正仿宋简体" w:eastAsia="方正仿宋简体" w:cs="Times New Roman"/>
        </w:rPr>
        <w:t>好“三线一单”动态更</w:t>
      </w:r>
      <w:r>
        <w:rPr>
          <w:rFonts w:eastAsia="方正仿宋简体" w:cs="Times New Roman"/>
        </w:rPr>
        <w:t>新、定期调整、跟踪评估的常态化工作。实施重点污染物总量控制，重点污染物排放总量指标优先向阳江东部（阳东）园区等发展平台和紧固件、机械装备、电子电器等重点产业集群倾斜，超过重点污染物排放总量控制指标或未完成环境质量改善目标的区域，新建、改建、扩建项目重点污染物实施减量替代。</w:t>
      </w:r>
    </w:p>
    <w:p>
      <w:pPr>
        <w:spacing w:line="520" w:lineRule="exact"/>
        <w:ind w:firstLine="640"/>
        <w:rPr>
          <w:rFonts w:eastAsia="方正仿宋简体" w:cs="Times New Roman"/>
        </w:rPr>
      </w:pPr>
      <w:r>
        <w:rPr>
          <w:rFonts w:eastAsia="方正楷体简体" w:cs="Times New Roman"/>
        </w:rPr>
        <w:t>（二）推动产业集聚发展。</w:t>
      </w:r>
      <w:r>
        <w:rPr>
          <w:rFonts w:eastAsia="方正仿宋简体" w:cs="Times New Roman"/>
        </w:rPr>
        <w:t>新建工业项目原则上进园进区，科学引导产业有序向东城镇、北惯镇、合山镇、那龙镇和阳东经济开发区等形成的产业与城镇聚合发展轴布局和集聚，推动涉及化学制浆、电镀、印染、鞣革等项目在具备排海条件的区域布局。进一步拓展产业发展空间。加大园区升级改造力度，推动优势产业、优势企业、优势资源和要素保障向中部工业经济发展区集中，为战略性新兴产业发展和传统产业的转型升级腾挪空间。加强高耗能、高排放建设项目生态环境源头防控，新建、扩建石化、化工、焦化、有色金属冶炼、平板玻璃项目应布设在依法合规设立并经规划环评的产业园区。</w:t>
      </w:r>
    </w:p>
    <w:p>
      <w:pPr>
        <w:spacing w:line="520" w:lineRule="exact"/>
        <w:ind w:firstLine="640"/>
        <w:rPr>
          <w:rFonts w:eastAsia="方正仿宋简体" w:cs="Times New Roman"/>
        </w:rPr>
      </w:pPr>
      <w:r>
        <w:rPr>
          <w:rFonts w:eastAsia="方正楷体简体" w:cs="Times New Roman"/>
        </w:rPr>
        <w:t>（三）落实生态空间管控。</w:t>
      </w:r>
      <w:r>
        <w:rPr>
          <w:rFonts w:eastAsia="方正仿宋简体" w:cs="Times New Roman"/>
        </w:rPr>
        <w:t>落实国土空间规划用途管制，维护生态系统功能，禁止或限制大规模、高强度的工业和城镇建设，严守生态环境底线。生态保护红线内的自然保护地核心保护区原则上禁止人为活动；其他区域严格禁止开发性、生产性建设活动，除国家重大战略项目外，仅允许对生态功能不造成破坏的有限人为活动。一般生态空间可开展生态保护红线内允许的活动，在不影响主导生态功能的前提下，还可开展国家和省规定不纳入环评管理的项目建设，以及生态旅游、畜禽养殖、基础设施建设、村庄建设等人为活动；一般生态空间内的人工商品林，允许依法进行抚育采伐、择伐和树种更新等经营活动。</w:t>
      </w:r>
    </w:p>
    <w:p>
      <w:pPr>
        <w:pStyle w:val="2"/>
        <w:spacing w:line="520" w:lineRule="exact"/>
        <w:ind w:firstLine="0" w:firstLineChars="0"/>
        <w:rPr>
          <w:sz w:val="32"/>
        </w:rPr>
      </w:pPr>
    </w:p>
    <w:p>
      <w:pPr>
        <w:pStyle w:val="4"/>
        <w:spacing w:before="0" w:beforeLines="0" w:line="520" w:lineRule="exact"/>
        <w:rPr>
          <w:rFonts w:ascii="黑体" w:hAnsi="黑体" w:eastAsia="黑体" w:cs="Times New Roman"/>
        </w:rPr>
      </w:pPr>
      <w:bookmarkStart w:id="99" w:name="_Toc16644"/>
      <w:bookmarkStart w:id="100" w:name="_Toc19675"/>
      <w:bookmarkStart w:id="101" w:name="_Toc157760714"/>
      <w:bookmarkStart w:id="102" w:name="_Toc13051"/>
      <w:bookmarkStart w:id="103" w:name="_Toc5386"/>
      <w:r>
        <w:rPr>
          <w:rFonts w:ascii="黑体" w:hAnsi="黑体" w:eastAsia="黑体" w:cs="Times New Roman"/>
        </w:rPr>
        <w:t>第三节 保护重要生态空间</w:t>
      </w:r>
      <w:bookmarkEnd w:id="99"/>
      <w:bookmarkEnd w:id="100"/>
      <w:bookmarkEnd w:id="101"/>
      <w:bookmarkEnd w:id="102"/>
      <w:bookmarkEnd w:id="103"/>
    </w:p>
    <w:p>
      <w:pPr>
        <w:spacing w:line="520" w:lineRule="exact"/>
        <w:ind w:firstLine="640"/>
      </w:pPr>
    </w:p>
    <w:p>
      <w:pPr>
        <w:numPr>
          <w:ilvl w:val="0"/>
          <w:numId w:val="6"/>
        </w:numPr>
        <w:spacing w:line="520" w:lineRule="exact"/>
        <w:ind w:firstLine="640"/>
        <w:rPr>
          <w:rFonts w:eastAsia="方正仿宋简体" w:cs="Times New Roman"/>
        </w:rPr>
      </w:pPr>
      <w:r>
        <w:rPr>
          <w:rFonts w:eastAsia="方正楷体简体" w:cs="Times New Roman"/>
        </w:rPr>
        <w:t>提升城镇生态功能质量。</w:t>
      </w:r>
      <w:r>
        <w:rPr>
          <w:rFonts w:eastAsia="方正仿宋简体" w:cs="Times New Roman"/>
        </w:rPr>
        <w:t>优化城镇空间布局，推进城市公园、社区绿地的均衡布局与建设，按居住区、居住小区和住宅组团绿地率不得低于35%，旧城改造区绿地率不低于30%的标准安排配套绿化用地。加大城市园林绿化建设和维护力度，推进城市公园绿地的规划、建设、保护和管理工作，加快许鸿飞雕塑主题公园和湿地公园建设。提升滨水空间品质，加强滨水公园规划建设，利用滨水景观的优化设计，让滨水融入城市生活。维护城市良好生态资源，构建良好的生态绿色屏障和市民观光休闲空间，建设市容整洁、环境优美、适宜居住生活的生态型城区（镇）。</w:t>
      </w:r>
    </w:p>
    <w:p>
      <w:pPr>
        <w:numPr>
          <w:ilvl w:val="0"/>
          <w:numId w:val="6"/>
        </w:numPr>
        <w:spacing w:line="520" w:lineRule="exact"/>
        <w:ind w:firstLine="640"/>
        <w:rPr>
          <w:rFonts w:eastAsia="方正仿宋简体" w:cs="Times New Roman"/>
        </w:rPr>
      </w:pPr>
      <w:r>
        <w:rPr>
          <w:rFonts w:eastAsia="方正楷体简体" w:cs="Times New Roman"/>
        </w:rPr>
        <w:t>推动重点生态区域生态保护和修复。</w:t>
      </w:r>
      <w:r>
        <w:rPr>
          <w:rFonts w:eastAsia="方正仿宋简体" w:cs="Times New Roman"/>
        </w:rPr>
        <w:t>着力保护好连绵山体森林生态屏障体系、以沿海防护林为重点的生态安全体系、水源地森林生态安全体系、景观林带与绿道网生态体系、城区绿地生态美化体系等五大森林生态体系。加强山地生态保护与修复，加大水土流失治理。推动矿山生态治理，加大土地复垦绿化工作，鼓励创建绿色矿山，大力防治山体崩塌、滑坡、泥石流等地质灾害。加强海岸带红树林保护与建设，在红树林适生地区逐步建成红树林体系，形成沿海生态屏障。</w:t>
      </w:r>
    </w:p>
    <w:p>
      <w:pPr>
        <w:numPr>
          <w:ilvl w:val="0"/>
          <w:numId w:val="6"/>
        </w:numPr>
        <w:spacing w:line="520" w:lineRule="exact"/>
        <w:ind w:firstLine="640"/>
        <w:rPr>
          <w:rFonts w:cs="Times New Roman"/>
        </w:rPr>
      </w:pPr>
      <w:r>
        <w:rPr>
          <w:rFonts w:eastAsia="方正楷体简体" w:cs="Times New Roman"/>
        </w:rPr>
        <w:t>加强生物多样性保护。</w:t>
      </w:r>
      <w:r>
        <w:rPr>
          <w:rFonts w:eastAsia="方正仿宋简体" w:cs="Times New Roman"/>
        </w:rPr>
        <w:t>以烂头岭森林公园、百楞森林公园、阳东林场森林公园、寿长河红树林湿地、东湖湿地等自然保护地为重点，强化森林、湿地等典型生态系统保护。构建生态廊道，将重要生态功能保护区、河流水系、自然山体、生态绿地进行有机连接。实施生物多样性就地保护和珍稀濒危野生动植物拯救与保护工程，重点加强野生植物及野生动物等国家级动植物保护。</w:t>
      </w:r>
    </w:p>
    <w:p>
      <w:pPr>
        <w:ind w:firstLine="640"/>
        <w:rPr>
          <w:rFonts w:cs="Times New Roman"/>
        </w:rPr>
        <w:sectPr>
          <w:pgSz w:w="11906" w:h="16838"/>
          <w:pgMar w:top="2098" w:right="1474" w:bottom="1984" w:left="1587" w:header="851" w:footer="992" w:gutter="0"/>
          <w:cols w:space="425" w:num="1"/>
          <w:docGrid w:type="lines" w:linePitch="312" w:charSpace="0"/>
        </w:sectPr>
      </w:pPr>
    </w:p>
    <w:p>
      <w:pPr>
        <w:pStyle w:val="3"/>
        <w:numPr>
          <w:ilvl w:val="0"/>
          <w:numId w:val="1"/>
        </w:numPr>
        <w:spacing w:line="594" w:lineRule="exact"/>
        <w:rPr>
          <w:rFonts w:ascii="方正小标宋简体" w:eastAsia="方正小标宋简体" w:cs="Times New Roman"/>
        </w:rPr>
      </w:pPr>
      <w:bookmarkStart w:id="104" w:name="_Toc24439"/>
      <w:bookmarkStart w:id="105" w:name="_Toc157760715"/>
      <w:bookmarkStart w:id="106" w:name="_Toc27295"/>
      <w:bookmarkStart w:id="107" w:name="_Toc23016"/>
      <w:bookmarkStart w:id="108" w:name="_Toc23229"/>
      <w:r>
        <w:rPr>
          <w:rFonts w:hint="eastAsia" w:ascii="方正小标宋简体" w:eastAsia="方正小标宋简体" w:cs="Times New Roman"/>
        </w:rPr>
        <w:t>高标准治理，推动环境质量持续改善</w:t>
      </w:r>
      <w:bookmarkEnd w:id="104"/>
      <w:bookmarkEnd w:id="105"/>
      <w:bookmarkEnd w:id="106"/>
      <w:bookmarkEnd w:id="107"/>
      <w:bookmarkEnd w:id="108"/>
    </w:p>
    <w:p>
      <w:pPr>
        <w:spacing w:line="594" w:lineRule="exact"/>
        <w:ind w:firstLine="640"/>
      </w:pPr>
    </w:p>
    <w:p>
      <w:pPr>
        <w:spacing w:line="594" w:lineRule="exact"/>
        <w:ind w:firstLine="640"/>
        <w:rPr>
          <w:rFonts w:eastAsia="方正仿宋简体" w:cs="Times New Roman"/>
        </w:rPr>
      </w:pPr>
      <w:r>
        <w:rPr>
          <w:rFonts w:eastAsia="方正仿宋简体" w:cs="Times New Roman"/>
        </w:rPr>
        <w:t>以改善生态环境质量为核心，坚持精准治污、科学治污、依法治污，围绕大气、水、土壤、地下水、农业农村和噪声污染等领域，深入打好污染防治攻坚战，努力开创阳东区生态环境保护新局面。</w:t>
      </w:r>
    </w:p>
    <w:p>
      <w:pPr>
        <w:pStyle w:val="2"/>
        <w:spacing w:line="594" w:lineRule="exact"/>
        <w:ind w:firstLine="480"/>
      </w:pPr>
    </w:p>
    <w:p>
      <w:pPr>
        <w:pStyle w:val="4"/>
        <w:spacing w:before="0" w:beforeLines="0" w:line="594" w:lineRule="exact"/>
        <w:rPr>
          <w:rFonts w:ascii="黑体" w:hAnsi="黑体" w:eastAsia="黑体" w:cs="Times New Roman"/>
        </w:rPr>
      </w:pPr>
      <w:bookmarkStart w:id="109" w:name="_Toc4838"/>
      <w:bookmarkStart w:id="110" w:name="_Toc26340"/>
      <w:bookmarkStart w:id="111" w:name="_Toc31159"/>
      <w:bookmarkStart w:id="112" w:name="_Toc157760716"/>
      <w:bookmarkStart w:id="113" w:name="_Toc11980"/>
      <w:r>
        <w:rPr>
          <w:rFonts w:ascii="黑体" w:hAnsi="黑体" w:eastAsia="黑体" w:cs="Times New Roman"/>
        </w:rPr>
        <w:t>第一节 精准提升大气</w:t>
      </w:r>
      <w:bookmarkEnd w:id="109"/>
      <w:bookmarkEnd w:id="110"/>
      <w:bookmarkEnd w:id="111"/>
      <w:r>
        <w:rPr>
          <w:rFonts w:ascii="黑体" w:hAnsi="黑体" w:eastAsia="黑体" w:cs="Times New Roman"/>
        </w:rPr>
        <w:t>污染防控能力</w:t>
      </w:r>
      <w:bookmarkEnd w:id="112"/>
      <w:bookmarkEnd w:id="113"/>
    </w:p>
    <w:p>
      <w:pPr>
        <w:spacing w:line="594" w:lineRule="exact"/>
        <w:ind w:firstLine="640"/>
      </w:pPr>
    </w:p>
    <w:p>
      <w:pPr>
        <w:numPr>
          <w:ilvl w:val="0"/>
          <w:numId w:val="7"/>
        </w:numPr>
        <w:spacing w:line="594" w:lineRule="exact"/>
        <w:ind w:left="0" w:firstLine="640"/>
        <w:rPr>
          <w:rFonts w:eastAsia="方正仿宋简体" w:cs="Times New Roman"/>
        </w:rPr>
      </w:pPr>
      <w:r>
        <w:rPr>
          <w:rFonts w:eastAsia="方正楷体简体" w:cs="Times New Roman"/>
        </w:rPr>
        <w:t>推动大气精细化管控。</w:t>
      </w:r>
      <w:r>
        <w:rPr>
          <w:rFonts w:eastAsia="方正仿宋简体" w:cs="Times New Roman"/>
        </w:rPr>
        <w:t>根据污染特点及变化趋势，加强对陶然站国控点等大气敏感区周边的空气质量情况分析与研判，围绕臭氧污染防治为核心，制定精准的</w:t>
      </w:r>
      <w:r>
        <w:rPr>
          <w:rFonts w:hint="eastAsia" w:ascii="方正仿宋简体" w:eastAsia="方正仿宋简体" w:cs="Times New Roman"/>
        </w:rPr>
        <w:t>“一区一策”</w:t>
      </w:r>
      <w:r>
        <w:rPr>
          <w:rFonts w:eastAsia="方正仿宋简体" w:cs="Times New Roman"/>
        </w:rPr>
        <w:t>大气污染控制方案。严格按照</w:t>
      </w:r>
      <w:r>
        <w:rPr>
          <w:rFonts w:hint="eastAsia" w:ascii="方正仿宋简体" w:eastAsia="方正仿宋简体" w:cs="Times New Roman"/>
        </w:rPr>
        <w:t>“三线一单”</w:t>
      </w:r>
      <w:r>
        <w:rPr>
          <w:rFonts w:eastAsia="方正仿宋简体" w:cs="Times New Roman"/>
        </w:rPr>
        <w:t>生态环境分区管控要求，引导钢铁、石化、燃煤燃油火电等项目在大气受体敏感区、布局敏感区、弱扩散区外布局。深化跨区、跨部门联防联控，定期开展工业炉窑、工业无组织排放、挥发性有机物污染、柴油车尾气排放和非道路移动机械排放等专项整治和联合执法。建立快速有效的应急联动运行模式，制定应急响应预案，充分依托华南区域空气质量预测预报中心，根据市通报可能出现大范围重污染天气的预测预警提示信息，切实做好污染天气应对措施。以每年9至12月为重点时段，通过挥发性有机物重点监管企业错峰生产、加强油气回收监管、机动车限行等手段，实现区域挥发性有机物和氮氧化物协同控制。</w:t>
      </w:r>
    </w:p>
    <w:p>
      <w:pPr>
        <w:numPr>
          <w:ilvl w:val="0"/>
          <w:numId w:val="7"/>
        </w:numPr>
        <w:spacing w:line="594" w:lineRule="exact"/>
        <w:ind w:left="0" w:firstLine="640"/>
        <w:rPr>
          <w:rFonts w:eastAsia="方正仿宋简体" w:cs="Times New Roman"/>
        </w:rPr>
      </w:pPr>
      <w:r>
        <w:rPr>
          <w:rFonts w:eastAsia="方正楷体简体" w:cs="Times New Roman"/>
        </w:rPr>
        <w:t>推进挥发性有机物（VOCs）深度治理。</w:t>
      </w:r>
      <w:r>
        <w:rPr>
          <w:rFonts w:eastAsia="方正仿宋简体" w:cs="Times New Roman"/>
        </w:rPr>
        <w:t>落实涉VOCs排放企业分级和清单化管理，并动态更新本地区涉VOCs重点企业分级管理台账。依据省涉VOCs重点行业指引，实施新一轮</w:t>
      </w:r>
      <w:r>
        <w:rPr>
          <w:rFonts w:hint="eastAsia" w:ascii="方正仿宋简体" w:eastAsia="方正仿宋简体" w:cs="Times New Roman"/>
        </w:rPr>
        <w:t>“一企一策”</w:t>
      </w:r>
      <w:r>
        <w:rPr>
          <w:rFonts w:eastAsia="方正仿宋简体" w:cs="Times New Roman"/>
        </w:rPr>
        <w:t>深度治理，全面推进阳东区VOCs重点监管企业销号式综合整治（第二批），推动涉VOCs排放企业制定并实施挥发性有机物深度治理手册，加强重点企业日常监督和</w:t>
      </w:r>
      <w:r>
        <w:rPr>
          <w:rFonts w:hint="eastAsia" w:ascii="方正仿宋简体" w:eastAsia="方正仿宋简体" w:cs="Times New Roman"/>
        </w:rPr>
        <w:t>“散乱污”</w:t>
      </w:r>
      <w:r>
        <w:rPr>
          <w:rFonts w:eastAsia="方正仿宋简体" w:cs="Times New Roman"/>
        </w:rPr>
        <w:t>企业后续监管。大力推进低VOCs含量原辅材料和产品源头替代，落实国家和地方产品VOCs含量限值质量标准，除现阶段确无法实施替代的工序外，禁止新建生产和使用高VOCs含量原辅材料项目。</w:t>
      </w:r>
      <w:r>
        <w:rPr>
          <w:rFonts w:eastAsia="方正仿宋简体" w:cs="Times New Roman"/>
          <w:szCs w:val="32"/>
        </w:rPr>
        <w:t>强化对企业涉</w:t>
      </w:r>
      <w:r>
        <w:rPr>
          <w:rFonts w:eastAsia="方正仿宋简体" w:cs="Times New Roman"/>
        </w:rPr>
        <w:t>挥VOCs</w:t>
      </w:r>
      <w:r>
        <w:rPr>
          <w:rFonts w:eastAsia="方正仿宋简体" w:cs="Times New Roman"/>
          <w:szCs w:val="32"/>
        </w:rPr>
        <w:t>生产车间/工序废气的收集管理，推动企业开展治理设施升级改造，加强过程管控和末端排放在线监测等实用管控手段应用，</w:t>
      </w:r>
      <w:r>
        <w:rPr>
          <w:rFonts w:eastAsia="方正仿宋简体" w:cs="Times New Roman"/>
        </w:rPr>
        <w:t>鼓励企业主动开展涉及VOCs物料环节的自查，指导企业使用一次性活性炭吸附治理技术等适宜高效的治理技术，淘汰光氧化、光催化和低温等离子等低效落后的治理设施，推行活性炭厂内脱附和专用移动车上门脱附，引导建设活性炭集中处理中心、溶剂回收中心，推动家具、干洗、汽车配件生产、汽车维修业等典型行业建设共性工厂或共享喷涂车间，全面提升VOCs废气收集率、治理设施同步运行率和去除率。</w:t>
      </w:r>
    </w:p>
    <w:p>
      <w:pPr>
        <w:numPr>
          <w:ilvl w:val="0"/>
          <w:numId w:val="7"/>
        </w:numPr>
        <w:spacing w:line="570" w:lineRule="exact"/>
        <w:ind w:left="0" w:firstLine="640"/>
        <w:rPr>
          <w:rFonts w:eastAsia="方正仿宋简体" w:cs="Times New Roman"/>
        </w:rPr>
      </w:pPr>
      <w:r>
        <w:rPr>
          <w:rFonts w:eastAsia="方正楷体简体" w:cs="Times New Roman"/>
        </w:rPr>
        <w:t>深化工业炉窑和锅炉排放治理。</w:t>
      </w:r>
      <w:r>
        <w:rPr>
          <w:rFonts w:eastAsia="方正仿宋简体" w:cs="Times New Roman"/>
        </w:rPr>
        <w:t>实施工业炉窑降碳减污综合治理，推动辖区内C级</w:t>
      </w:r>
      <w:r>
        <w:rPr>
          <w:rStyle w:val="25"/>
          <w:rFonts w:eastAsia="方正仿宋简体" w:cs="Times New Roman"/>
        </w:rPr>
        <w:footnoteReference w:id="7"/>
      </w:r>
      <w:r>
        <w:rPr>
          <w:rFonts w:eastAsia="方正仿宋简体" w:cs="Times New Roman"/>
        </w:rPr>
        <w:t>工业炉窑企业转型升级，未完成升级改造的C级企业应列入污染天气应对期间重点管控对象严格管控。加大工业锅炉整治力度，着力促进用热企业向园区集聚，在集中供热管网覆盖范围内，禁止新建、扩建燃用煤炭、重油、渣油、生物质等分散供热锅炉。新建天然气锅炉要采取有效脱硝措施，减少氮氧化物排放。</w:t>
      </w:r>
    </w:p>
    <w:p>
      <w:pPr>
        <w:numPr>
          <w:ilvl w:val="0"/>
          <w:numId w:val="7"/>
        </w:numPr>
        <w:spacing w:line="570" w:lineRule="exact"/>
        <w:ind w:left="0" w:firstLine="640"/>
        <w:rPr>
          <w:rFonts w:eastAsia="方正仿宋简体" w:cs="Times New Roman"/>
        </w:rPr>
      </w:pPr>
      <w:r>
        <w:rPr>
          <w:rFonts w:eastAsia="方正楷体简体" w:cs="Times New Roman"/>
        </w:rPr>
        <w:t>强化移动源监督管理。</w:t>
      </w:r>
      <w:r>
        <w:rPr>
          <w:rFonts w:eastAsia="方正仿宋简体" w:cs="Times New Roman"/>
        </w:rPr>
        <w:t>根据上级更新的营运柴油车用车大户清单，督促指导营运柴油车用车大户建立完善车辆维护、燃料和车用尿素添加使用台账。依托省</w:t>
      </w:r>
      <w:r>
        <w:rPr>
          <w:rFonts w:hint="eastAsia" w:ascii="方正仿宋简体" w:eastAsia="方正仿宋简体" w:cs="Times New Roman"/>
        </w:rPr>
        <w:t>“天地车人”</w:t>
      </w:r>
      <w:r>
        <w:rPr>
          <w:rFonts w:eastAsia="方正仿宋简体" w:cs="Times New Roman"/>
        </w:rPr>
        <w:t>一体化机动车排放监管系统和阳江市机动车遥感监测信息联网系统，对机动车特别是柴油车开展全天候全方位排放实时监控，严控新车和在用车污染物排放状况。应用遥感监测、黑烟车抓拍系统等信息技术在途经物流园、工业园、港口码头等重点区域路段开展常态化检查，严查严管汽车尾气和道路扬尘。严把非道路移动机械准入关，继续开展非道路移动机械编码登记和号牌发放工作，依法打击低排区内冒黑烟、排放不达标行为。多方联动，海陆共同发力，实现成品油生产、储存、运输、销售、使用全链条、多方位、常态化检查和管理，加强与成品油企业的协作配合，坚决打击和取缔非法经营成品油行为。</w:t>
      </w:r>
    </w:p>
    <w:p>
      <w:pPr>
        <w:numPr>
          <w:ilvl w:val="0"/>
          <w:numId w:val="7"/>
        </w:numPr>
        <w:spacing w:line="540" w:lineRule="exact"/>
        <w:ind w:left="0" w:firstLine="640"/>
        <w:rPr>
          <w:rFonts w:eastAsia="方正仿宋简体" w:cs="Times New Roman"/>
        </w:rPr>
      </w:pPr>
      <w:r>
        <w:rPr>
          <w:rFonts w:eastAsia="方正楷体简体" w:cs="Times New Roman"/>
        </w:rPr>
        <w:t>持续推进面源管控。</w:t>
      </w:r>
      <w:r>
        <w:rPr>
          <w:rFonts w:eastAsia="方正仿宋简体" w:cs="Times New Roman"/>
        </w:rPr>
        <w:t>继续落实现场围蔽、沙土覆盖、路面硬化、洒水压尘、车辆冲净、场地绿化</w:t>
      </w:r>
      <w:r>
        <w:rPr>
          <w:rFonts w:hint="eastAsia" w:eastAsia="方正仿宋简体" w:cs="Times New Roman"/>
        </w:rPr>
        <w:t>“六个</w:t>
      </w:r>
      <w:r>
        <w:rPr>
          <w:rFonts w:eastAsia="方正仿宋简体" w:cs="Times New Roman"/>
        </w:rPr>
        <w:t>100%</w:t>
      </w:r>
      <w:r>
        <w:rPr>
          <w:rFonts w:hint="eastAsia" w:eastAsia="方正仿宋简体" w:cs="Times New Roman"/>
        </w:rPr>
        <w:t>”</w:t>
      </w:r>
      <w:r>
        <w:rPr>
          <w:rFonts w:eastAsia="方正仿宋简体" w:cs="Times New Roman"/>
        </w:rPr>
        <w:t>工地整治项目。借助施工工地扬尘视频监管平台，曝光并处罚落实不当的工地，督促整改到位。积极推行秸秆、树枝（叶）等生物质综合利用，倡导利用秸秆覆盖农作物和秸秆直接还田，推广秸秆肥料化、饲料化、基料化、燃料化、原料化技术。鼓励</w:t>
      </w:r>
      <w:r>
        <w:rPr>
          <w:rFonts w:hint="eastAsia" w:ascii="方正仿宋简体" w:eastAsia="方正仿宋简体" w:cs="Times New Roman"/>
        </w:rPr>
        <w:t>“文明、绿色、环保”</w:t>
      </w:r>
      <w:r>
        <w:rPr>
          <w:rFonts w:eastAsia="方正仿宋简体" w:cs="Times New Roman"/>
        </w:rPr>
        <w:t>的节日庆祝模式，减少露天烧香祭祀。建立健全全覆盖网格化监管体系，综合运用无人机、卫星遥感、高清视频监控等手段，加强乱放烟花爆竹和露天焚烧行为的监管。强化各镇村的露天焚烧主体责任，细化落实后续跟进措施。</w:t>
      </w:r>
    </w:p>
    <w:p>
      <w:pPr>
        <w:pStyle w:val="2"/>
        <w:spacing w:line="540" w:lineRule="exact"/>
        <w:ind w:firstLine="640"/>
        <w:rPr>
          <w:rFonts w:eastAsia="方正仿宋简体"/>
          <w:sz w:val="32"/>
        </w:rPr>
      </w:pPr>
    </w:p>
    <w:p>
      <w:pPr>
        <w:pStyle w:val="4"/>
        <w:spacing w:before="0" w:beforeLines="0" w:line="540" w:lineRule="exact"/>
        <w:rPr>
          <w:rFonts w:ascii="黑体" w:hAnsi="黑体" w:eastAsia="黑体" w:cs="Times New Roman"/>
        </w:rPr>
      </w:pPr>
      <w:bookmarkStart w:id="114" w:name="_Toc5250"/>
      <w:bookmarkStart w:id="115" w:name="_Toc12683"/>
      <w:bookmarkStart w:id="116" w:name="_Toc27742"/>
      <w:bookmarkStart w:id="117" w:name="_Toc1390"/>
      <w:bookmarkStart w:id="118" w:name="_Toc157760717"/>
      <w:r>
        <w:rPr>
          <w:rFonts w:ascii="黑体" w:hAnsi="黑体" w:eastAsia="黑体" w:cs="Times New Roman"/>
        </w:rPr>
        <w:t>第二节 系统推进水环境长效治理</w:t>
      </w:r>
      <w:bookmarkEnd w:id="114"/>
      <w:bookmarkEnd w:id="115"/>
      <w:bookmarkEnd w:id="116"/>
      <w:bookmarkEnd w:id="117"/>
      <w:bookmarkEnd w:id="118"/>
    </w:p>
    <w:p>
      <w:pPr>
        <w:spacing w:line="540" w:lineRule="exact"/>
        <w:ind w:firstLine="640"/>
        <w:rPr>
          <w:rFonts w:eastAsia="方正仿宋简体"/>
        </w:rPr>
      </w:pPr>
    </w:p>
    <w:p>
      <w:pPr>
        <w:numPr>
          <w:ilvl w:val="0"/>
          <w:numId w:val="8"/>
        </w:numPr>
        <w:spacing w:line="540" w:lineRule="exact"/>
        <w:ind w:left="0" w:firstLine="640"/>
        <w:rPr>
          <w:rFonts w:eastAsia="方正仿宋简体" w:cs="Times New Roman"/>
        </w:rPr>
      </w:pPr>
      <w:r>
        <w:rPr>
          <w:rFonts w:eastAsia="方正楷体简体" w:cs="Times New Roman"/>
        </w:rPr>
        <w:t>强化饮用水水源地保护。</w:t>
      </w:r>
      <w:r>
        <w:rPr>
          <w:rFonts w:eastAsia="方正仿宋简体" w:cs="Times New Roman"/>
        </w:rPr>
        <w:t>着力开展饮用水水源地内环境问题清理整治，全面排查饮用水水源一级、二级和准保护区污染源，加大执法力度，加强巡查频次，拆除一级保护区内违章建筑，</w:t>
      </w:r>
      <w:r>
        <w:rPr>
          <w:rFonts w:hint="eastAsia" w:eastAsia="方正仿宋简体" w:cs="Times New Roman"/>
        </w:rPr>
        <w:t>依法</w:t>
      </w:r>
      <w:r>
        <w:rPr>
          <w:rFonts w:eastAsia="方正仿宋简体" w:cs="Times New Roman"/>
        </w:rPr>
        <w:t>查处水源保护区内企业违法排污行为，依法关闭水源区内违法排污口，遏制违法养殖回潮现象。加快推进已完成划定的</w:t>
      </w:r>
      <w:r>
        <w:rPr>
          <w:rFonts w:hint="eastAsia" w:ascii="方正仿宋简体" w:eastAsia="方正仿宋简体" w:cs="Times New Roman"/>
        </w:rPr>
        <w:t>“千吨万人”</w:t>
      </w:r>
      <w:r>
        <w:rPr>
          <w:rFonts w:eastAsia="方正仿宋简体" w:cs="Times New Roman"/>
        </w:rPr>
        <w:t>饮用水水源地的规范化建设。开展饮用水水源地环境状况评估和风险隐患排查整治，制定完善水源地突发事故应急预案，保障饮用水水源水质安全，确保全区8个镇级饮用水水源地和1个县级饮用水水源地全部达到或优于Ⅲ类水标准。</w:t>
      </w:r>
    </w:p>
    <w:p>
      <w:pPr>
        <w:numPr>
          <w:ilvl w:val="0"/>
          <w:numId w:val="8"/>
        </w:numPr>
        <w:spacing w:line="540" w:lineRule="exact"/>
        <w:ind w:left="0" w:firstLine="640"/>
        <w:rPr>
          <w:rFonts w:eastAsia="方正仿宋简体" w:cs="Times New Roman"/>
        </w:rPr>
      </w:pPr>
      <w:r>
        <w:rPr>
          <w:rFonts w:eastAsia="方正楷体简体" w:cs="Times New Roman"/>
        </w:rPr>
        <w:t>全力推进考核断面水质稳定达标攻坚。</w:t>
      </w:r>
      <w:r>
        <w:rPr>
          <w:rFonts w:eastAsia="方正仿宋简体" w:cs="Times New Roman"/>
        </w:rPr>
        <w:t>严格落实寿长河国考断面水质达标整治有关工作方案，落实加快大沟、新洲、东平等城镇污水设施及管网建设、提升农村污水处理能力、加强畜禽养殖和水产养殖污染防治等工作，切实加大三合河、赤坎河、中六河等有关支流污染整治力度，确保寿长河断面水质稳定达标。严格落实那龙河尖山国考断面水质达标整治有关工作方案，围绕城市及农村污水收集处理设施建设、工业污染防治和加强畜禽养殖污染防治等方面，加快合山镇污水处理厂</w:t>
      </w:r>
      <w:r>
        <w:rPr>
          <w:rFonts w:hint="eastAsia" w:eastAsia="方正仿宋简体" w:cs="Times New Roman"/>
        </w:rPr>
        <w:t>二期项目建设</w:t>
      </w:r>
      <w:r>
        <w:rPr>
          <w:rFonts w:eastAsia="方正仿宋简体" w:cs="Times New Roman"/>
        </w:rPr>
        <w:t>，完成雅韶、那龙等镇污水处理厂和农村生活污水处理设施建设，推进阳东经济开发区污水管网建设，严格那龙河流域畜禽养殖排查清理，推进规模化养殖场无害化处理和综合利用设施建设，确保那龙河尖山断面水质稳定达标。加强国控断面的监测和预警研判工作，采取有力措施，确保潭江三甲电站断面水质持续达标。强化责任落实，结合河长制要求，将责任落实落细到区直有关责任单位和各镇、各行政村、各自然村，精准精细开展整治。</w:t>
      </w:r>
    </w:p>
    <w:p>
      <w:pPr>
        <w:numPr>
          <w:ilvl w:val="0"/>
          <w:numId w:val="8"/>
        </w:numPr>
        <w:spacing w:line="540" w:lineRule="exact"/>
        <w:ind w:left="0" w:firstLine="640"/>
        <w:rPr>
          <w:rFonts w:eastAsia="方正仿宋简体" w:cs="Times New Roman"/>
        </w:rPr>
      </w:pPr>
      <w:r>
        <w:rPr>
          <w:rFonts w:eastAsia="方正楷体简体" w:cs="Times New Roman"/>
        </w:rPr>
        <w:t>深化重点支流和污染源治理。</w:t>
      </w:r>
      <w:r>
        <w:rPr>
          <w:rFonts w:eastAsia="方正仿宋简体" w:cs="Times New Roman"/>
        </w:rPr>
        <w:t>持续推进轮水河、莲塘河、大八河等漠阳江重点支流污染综合治理，依托专项水质整治攻坚工作方案，实施干流和支流、上游和下游、左岸和右岸、城区和农村协同治理，构建一体化治水机制。因地制宜采用控源截污、清淤疏浚、生态修复、活水保质等措施，推动黑臭水体整治，到2025年，县级以上城市建成区黑臭水体实现全面消除。推进入河排污口规范化整治，建立入河排污口动态更新及定期排查机制。按照</w:t>
      </w:r>
      <w:r>
        <w:rPr>
          <w:rFonts w:hint="eastAsia" w:ascii="方正仿宋简体" w:eastAsia="方正仿宋简体" w:cs="Times New Roman"/>
        </w:rPr>
        <w:t>“一厂一策”</w:t>
      </w:r>
      <w:r>
        <w:rPr>
          <w:rFonts w:eastAsia="方正仿宋简体" w:cs="Times New Roman"/>
        </w:rPr>
        <w:t>原则，加强工业源排污治理。强化禁养区清理整治，彻底清理疏浚已关闭或搬迁的畜禽养殖场（小区）和专业户的粪污塘及周边污染沟渠，建立回潮防范机制，严控非法养殖业反弹。充分发挥</w:t>
      </w:r>
      <w:r>
        <w:rPr>
          <w:rFonts w:hint="eastAsia" w:ascii="方正仿宋简体" w:eastAsia="方正仿宋简体" w:cs="Times New Roman"/>
        </w:rPr>
        <w:t>“河长制”</w:t>
      </w:r>
      <w:r>
        <w:rPr>
          <w:rFonts w:eastAsia="方正仿宋简体" w:cs="Times New Roman"/>
        </w:rPr>
        <w:t>作用，将入河排污口、污水处理厂、工业企业及黑臭水体整治工程检查纳入河长工作的重要内容，强化巡查监管。</w:t>
      </w:r>
    </w:p>
    <w:p>
      <w:pPr>
        <w:numPr>
          <w:ilvl w:val="0"/>
          <w:numId w:val="8"/>
        </w:numPr>
        <w:spacing w:line="540" w:lineRule="exact"/>
        <w:ind w:left="0" w:firstLine="640"/>
        <w:rPr>
          <w:rFonts w:eastAsia="方正仿宋简体" w:cs="Times New Roman"/>
        </w:rPr>
      </w:pPr>
      <w:r>
        <w:rPr>
          <w:rFonts w:eastAsia="方正楷体简体" w:cs="Times New Roman"/>
        </w:rPr>
        <w:t>加快补齐污水处理能力短板。</w:t>
      </w:r>
      <w:r>
        <w:rPr>
          <w:rFonts w:eastAsia="方正仿宋简体" w:cs="Times New Roman"/>
        </w:rPr>
        <w:t>着力推进阳东区PPP模式整区推进镇村污水处理设施建设项目，大力提升城镇和农村生活污水处理能力和推进污水管网改造，优先完善问题管道的建设，进一步推进雨污分流建设，提升污水处理厂</w:t>
      </w:r>
      <w:r>
        <w:rPr>
          <w:rFonts w:hint="eastAsia" w:eastAsia="方正仿宋简体" w:cs="Times New Roman"/>
        </w:rPr>
        <w:t>污水</w:t>
      </w:r>
      <w:r>
        <w:rPr>
          <w:rFonts w:eastAsia="方正仿宋简体" w:cs="Times New Roman"/>
        </w:rPr>
        <w:t>收集能力。</w:t>
      </w:r>
      <w:r>
        <w:rPr>
          <w:rFonts w:hint="eastAsia" w:ascii="方正仿宋简体" w:eastAsia="方正仿宋简体" w:cs="Times New Roman"/>
        </w:rPr>
        <w:t>“十四五”</w:t>
      </w:r>
      <w:r>
        <w:rPr>
          <w:rFonts w:eastAsia="方正仿宋简体" w:cs="Times New Roman"/>
        </w:rPr>
        <w:t>期间，</w:t>
      </w:r>
      <w:r>
        <w:rPr>
          <w:rFonts w:hint="eastAsia" w:eastAsia="方正仿宋简体" w:cs="Times New Roman"/>
        </w:rPr>
        <w:t>在</w:t>
      </w:r>
      <w:r>
        <w:rPr>
          <w:rFonts w:eastAsia="方正仿宋简体" w:cs="Times New Roman"/>
        </w:rPr>
        <w:t>合山、东平</w:t>
      </w:r>
      <w:r>
        <w:rPr>
          <w:rFonts w:hint="eastAsia" w:eastAsia="方正仿宋简体" w:cs="Times New Roman"/>
        </w:rPr>
        <w:t>、</w:t>
      </w:r>
      <w:r>
        <w:rPr>
          <w:rFonts w:eastAsia="方正仿宋简体" w:cs="Times New Roman"/>
        </w:rPr>
        <w:t>大沟、雅韶、那龙、新洲、塘坪</w:t>
      </w:r>
      <w:r>
        <w:rPr>
          <w:rFonts w:hint="eastAsia" w:eastAsia="方正仿宋简体" w:cs="Times New Roman"/>
        </w:rPr>
        <w:t>、</w:t>
      </w:r>
      <w:r>
        <w:rPr>
          <w:rFonts w:eastAsia="方正仿宋简体" w:cs="Times New Roman"/>
        </w:rPr>
        <w:t>大八</w:t>
      </w:r>
      <w:r>
        <w:rPr>
          <w:rFonts w:hint="eastAsia" w:eastAsia="方正仿宋简体" w:cs="Times New Roman"/>
        </w:rPr>
        <w:t>等</w:t>
      </w:r>
      <w:r>
        <w:rPr>
          <w:rFonts w:eastAsia="方正仿宋简体" w:cs="Times New Roman"/>
        </w:rPr>
        <w:t>八</w:t>
      </w:r>
      <w:r>
        <w:rPr>
          <w:rFonts w:hint="eastAsia" w:eastAsia="方正仿宋简体" w:cs="Times New Roman"/>
        </w:rPr>
        <w:t>个镇各</w:t>
      </w:r>
      <w:r>
        <w:rPr>
          <w:rFonts w:eastAsia="方正仿宋简体" w:cs="Times New Roman"/>
        </w:rPr>
        <w:t>新建</w:t>
      </w:r>
      <w:r>
        <w:rPr>
          <w:rFonts w:hint="eastAsia" w:eastAsia="方正仿宋简体" w:cs="Times New Roman"/>
        </w:rPr>
        <w:t>1座</w:t>
      </w:r>
      <w:r>
        <w:rPr>
          <w:rFonts w:eastAsia="方正仿宋简体" w:cs="Times New Roman"/>
        </w:rPr>
        <w:t>污水处理厂。围绕服务片区管网制定</w:t>
      </w:r>
      <w:r>
        <w:rPr>
          <w:rFonts w:hint="eastAsia" w:ascii="方正仿宋简体" w:eastAsia="方正仿宋简体" w:cs="Times New Roman"/>
        </w:rPr>
        <w:t>“一厂一策”</w:t>
      </w:r>
      <w:r>
        <w:rPr>
          <w:rFonts w:eastAsia="方正仿宋简体" w:cs="Times New Roman"/>
        </w:rPr>
        <w:t>系统化整治方案</w:t>
      </w:r>
      <w:r>
        <w:rPr>
          <w:rFonts w:hint="eastAsia" w:eastAsia="方正仿宋简体" w:cs="Times New Roman"/>
        </w:rPr>
        <w:t>，保障</w:t>
      </w:r>
      <w:r>
        <w:rPr>
          <w:rFonts w:eastAsia="方正仿宋简体" w:cs="Times New Roman"/>
        </w:rPr>
        <w:t>污水处理厂进水浓度</w:t>
      </w:r>
      <w:r>
        <w:rPr>
          <w:rFonts w:hint="eastAsia" w:eastAsia="方正仿宋简体" w:cs="Times New Roman"/>
        </w:rPr>
        <w:t>稳定达标</w:t>
      </w:r>
      <w:r>
        <w:rPr>
          <w:rFonts w:eastAsia="方正仿宋简体" w:cs="Times New Roman"/>
        </w:rPr>
        <w:t>。加快农村生活污水处理设施建设，完成农村生活污水处理设施建设</w:t>
      </w:r>
      <w:r>
        <w:rPr>
          <w:rFonts w:eastAsia="方正仿宋简体" w:cs="Times New Roman"/>
          <w:color w:val="000000" w:themeColor="text1"/>
          <w14:textFill>
            <w14:solidFill>
              <w14:schemeClr w14:val="tx1"/>
            </w14:solidFill>
          </w14:textFill>
        </w:rPr>
        <w:t>506座</w:t>
      </w:r>
      <w:r>
        <w:rPr>
          <w:rFonts w:eastAsia="方正仿宋简体" w:cs="Times New Roman"/>
        </w:rPr>
        <w:t>，各自然村完成雨污分流管网建设，督促各镇加大日常监管巡查力度，对运行不正常的污水设施，责令整改，保证农村生活污水得到有效治理。</w:t>
      </w:r>
    </w:p>
    <w:p>
      <w:pPr>
        <w:numPr>
          <w:ilvl w:val="0"/>
          <w:numId w:val="8"/>
        </w:numPr>
        <w:spacing w:line="540" w:lineRule="exact"/>
        <w:ind w:left="0" w:firstLine="640"/>
        <w:rPr>
          <w:rFonts w:eastAsia="方正仿宋简体" w:cs="Times New Roman"/>
        </w:rPr>
      </w:pPr>
      <w:r>
        <w:rPr>
          <w:rFonts w:eastAsia="方正楷体简体" w:cs="Times New Roman"/>
        </w:rPr>
        <w:t>加强水生态系统保护与修复。</w:t>
      </w:r>
      <w:r>
        <w:rPr>
          <w:rFonts w:eastAsia="方正仿宋简体" w:cs="Times New Roman"/>
        </w:rPr>
        <w:t>实施水生态修复，以那龙河、大八河、寿长河等河道为主干廊道，以大小河流为连通网线，湿地公园为生态节点，连通河流、河涌、湖泊、湿地等，促进水系联动，增强河涌自净能力，增强重点河道岸线管理及河道整治与生态修复，推进绿色生态水网建设，创建美丽河湖。高质量推进万里碧道建设，根据《阳江市碧道规划（2020-2035年）》，阳东区规划建设那龙河东城段碧道、漠阳江阳东区段碧道、那龙河北惯至合山段碧道、良政联围碧道、台平三丫联围碧道等，并持续做好碧道远期规划建设。以河湖坑塘沟渠清理、水系连通、河道清障以及生态护坡为重点，推进农村水系综合整治和生态修复。强化湿地生态系统功能建设，推进寿长河下游红树林湿地保护和恢复，保护红树林湿地生态系统结构完整性和功能多样性。</w:t>
      </w:r>
    </w:p>
    <w:p>
      <w:pPr>
        <w:pStyle w:val="2"/>
        <w:spacing w:line="540" w:lineRule="exact"/>
        <w:ind w:firstLine="640"/>
        <w:rPr>
          <w:rFonts w:eastAsia="方正仿宋简体"/>
          <w:sz w:val="32"/>
        </w:rPr>
      </w:pPr>
    </w:p>
    <w:p>
      <w:pPr>
        <w:pStyle w:val="4"/>
        <w:spacing w:before="0" w:beforeLines="0" w:line="540" w:lineRule="exact"/>
        <w:rPr>
          <w:rFonts w:ascii="黑体" w:hAnsi="黑体" w:eastAsia="黑体" w:cs="Times New Roman"/>
        </w:rPr>
      </w:pPr>
      <w:bookmarkStart w:id="119" w:name="_Toc405"/>
      <w:bookmarkStart w:id="120" w:name="_Toc157760718"/>
      <w:bookmarkStart w:id="121" w:name="_Toc27821"/>
      <w:r>
        <w:rPr>
          <w:rFonts w:ascii="黑体" w:hAnsi="黑体" w:eastAsia="黑体" w:cs="Times New Roman"/>
        </w:rPr>
        <w:t>第三节 陆海统筹海洋污染防治</w:t>
      </w:r>
      <w:bookmarkEnd w:id="119"/>
      <w:bookmarkEnd w:id="120"/>
      <w:bookmarkEnd w:id="121"/>
    </w:p>
    <w:p>
      <w:pPr>
        <w:spacing w:line="540" w:lineRule="exact"/>
        <w:ind w:firstLine="640"/>
      </w:pPr>
    </w:p>
    <w:p>
      <w:pPr>
        <w:numPr>
          <w:ilvl w:val="0"/>
          <w:numId w:val="9"/>
        </w:numPr>
        <w:spacing w:line="540" w:lineRule="exact"/>
        <w:ind w:left="0" w:firstLine="640"/>
        <w:rPr>
          <w:rFonts w:ascii="方正仿宋简体" w:eastAsia="方正仿宋简体" w:cs="Times New Roman"/>
          <w:color w:val="000000" w:themeColor="text1"/>
          <w14:textFill>
            <w14:solidFill>
              <w14:schemeClr w14:val="tx1"/>
            </w14:solidFill>
          </w14:textFill>
        </w:rPr>
      </w:pPr>
      <w:bookmarkStart w:id="122" w:name="_Toc56"/>
      <w:bookmarkStart w:id="123" w:name="_Toc30835"/>
      <w:r>
        <w:rPr>
          <w:rFonts w:hint="eastAsia" w:ascii="方正楷体简体" w:eastAsia="方正楷体简体" w:cs="Times New Roman"/>
          <w:color w:val="000000" w:themeColor="text1"/>
          <w14:textFill>
            <w14:solidFill>
              <w14:schemeClr w14:val="tx1"/>
            </w14:solidFill>
          </w14:textFill>
        </w:rPr>
        <w:t>严格控制陆源污染。</w:t>
      </w:r>
      <w:r>
        <w:rPr>
          <w:rFonts w:hint="eastAsia" w:ascii="方正仿宋简体" w:eastAsia="方正仿宋简体" w:cs="Times New Roman"/>
          <w:color w:val="000000" w:themeColor="text1"/>
          <w14:textFill>
            <w14:solidFill>
              <w14:schemeClr w14:val="tx1"/>
            </w14:solidFill>
          </w14:textFill>
        </w:rPr>
        <w:t>开展入海排污口排查整治专项行动，推进入海排污口“查、测、溯、治”，建立排污口台账，分类推进入海排污口规范整治，有效管控直排海污染源，对超标准、超排污许可总量排放的直排海污染源依法处罚，对违规排污口和倾倒区实施限期关闭。积极落实漠阳江、寿长河等入海河流污染综合整治，将入海河流水质考核纳入地表水水质考核，推进“一河一策”精准治污，着力减少总氮等污染物入海量。</w:t>
      </w:r>
    </w:p>
    <w:p>
      <w:pPr>
        <w:numPr>
          <w:ilvl w:val="0"/>
          <w:numId w:val="9"/>
        </w:numPr>
        <w:spacing w:line="540" w:lineRule="exact"/>
        <w:ind w:left="0" w:firstLine="640"/>
        <w:rPr>
          <w:rFonts w:eastAsia="方正仿宋简体" w:cs="Times New Roman"/>
          <w:color w:val="000000" w:themeColor="text1"/>
          <w14:textFill>
            <w14:solidFill>
              <w14:schemeClr w14:val="tx1"/>
            </w14:solidFill>
          </w14:textFill>
        </w:rPr>
      </w:pPr>
      <w:r>
        <w:rPr>
          <w:rFonts w:eastAsia="方正楷体简体" w:cs="Times New Roman"/>
          <w:color w:val="000000" w:themeColor="text1"/>
          <w14:textFill>
            <w14:solidFill>
              <w14:schemeClr w14:val="tx1"/>
            </w14:solidFill>
          </w14:textFill>
        </w:rPr>
        <w:t>严格控制近海海水养殖污染。</w:t>
      </w:r>
      <w:r>
        <w:rPr>
          <w:rFonts w:eastAsia="方正仿宋简体" w:cs="Times New Roman"/>
          <w:color w:val="000000" w:themeColor="text1"/>
          <w14:textFill>
            <w14:solidFill>
              <w14:schemeClr w14:val="tx1"/>
            </w14:solidFill>
          </w14:textFill>
        </w:rPr>
        <w:t>科学推进水产养殖尾水治理，积极推进雅韶镇八二村潮蒲新海围养殖场新型生态操控海水养殖、阳东对虾省级现代农业产业园海水养殖示范试点，并根据阳东区海水水产养殖尾水治理技术指引，推广应用科学的尾水治理方法，加快阳东区海水养殖尾水集中处理项目建设。</w:t>
      </w:r>
      <w:r>
        <w:rPr>
          <w:rFonts w:eastAsia="方正仿宋简体" w:cs="Times New Roman"/>
        </w:rPr>
        <w:t>进一步推进水产养殖户转变养殖方法和品种，减少污染物排放。严格水产养殖执法，禁养区内严禁新增任何养殖活动，现有非法养殖设施应按照相关管理部门要求全部拆除；现有合法养殖设施应按照相关管理部门的要求限期搬迁或关停。</w:t>
      </w:r>
    </w:p>
    <w:p>
      <w:pPr>
        <w:spacing w:line="540" w:lineRule="exact"/>
        <w:ind w:firstLine="640"/>
        <w:rPr>
          <w:rFonts w:eastAsia="方正仿宋简体" w:cs="Times New Roman"/>
          <w:color w:val="000000" w:themeColor="text1"/>
          <w:szCs w:val="32"/>
          <w14:textFill>
            <w14:solidFill>
              <w14:schemeClr w14:val="tx1"/>
            </w14:solidFill>
          </w14:textFill>
        </w:rPr>
      </w:pPr>
      <w:r>
        <w:rPr>
          <w:rFonts w:eastAsia="方正楷体简体" w:cs="Times New Roman"/>
        </w:rPr>
        <w:t>（三）推进海上污染防治。</w:t>
      </w:r>
      <w:r>
        <w:rPr>
          <w:rFonts w:eastAsia="方正仿宋简体" w:cs="Times New Roman"/>
        </w:rPr>
        <w:t>大力推进港口码头岸电设施建设和船舶受电设施设备改造，</w:t>
      </w:r>
      <w:r>
        <w:rPr>
          <w:rFonts w:eastAsia="方正仿宋简体" w:cs="Times New Roman"/>
          <w:szCs w:val="32"/>
        </w:rPr>
        <w:t>开展水污染物的船舶收集处理设施、港口接收能力、市政污水管网与码头连接线、城市污染物集中处理设施等基础建设，实施船舶水污染物联合监管。开展渔港环境综合整治</w:t>
      </w:r>
      <w:r>
        <w:rPr>
          <w:rFonts w:eastAsia="方正仿宋简体" w:cs="Times New Roman"/>
          <w:color w:val="000000" w:themeColor="text1"/>
          <w:szCs w:val="32"/>
          <w14:textFill>
            <w14:solidFill>
              <w14:schemeClr w14:val="tx1"/>
            </w14:solidFill>
          </w14:textFill>
        </w:rPr>
        <w:t>，推进渔港污染防治设施建设和升级改造，加强污染物清理和处置，提高渔港污染防治监管水平。加强海洋垃圾污染防治，建立近岸海域海滩垃圾处理常态化管理机制，加强海上垃圾打捞、处置能力建设，做好海面巡视和岸线巡查监管，严厉打击向海域倾倒垃圾的违法行为。</w:t>
      </w:r>
    </w:p>
    <w:p>
      <w:pPr>
        <w:pStyle w:val="2"/>
        <w:spacing w:line="540" w:lineRule="exact"/>
        <w:ind w:firstLine="640"/>
        <w:rPr>
          <w:rFonts w:eastAsia="方正仿宋简体"/>
          <w:sz w:val="32"/>
        </w:rPr>
      </w:pPr>
    </w:p>
    <w:p>
      <w:pPr>
        <w:pStyle w:val="4"/>
        <w:spacing w:before="0" w:beforeLines="0" w:line="540" w:lineRule="exact"/>
        <w:rPr>
          <w:rFonts w:ascii="黑体" w:hAnsi="黑体" w:eastAsia="黑体" w:cs="Times New Roman"/>
        </w:rPr>
      </w:pPr>
      <w:bookmarkStart w:id="124" w:name="_Toc4141"/>
      <w:bookmarkStart w:id="125" w:name="_Toc31479"/>
      <w:bookmarkStart w:id="126" w:name="_Toc157760719"/>
      <w:r>
        <w:rPr>
          <w:rFonts w:ascii="黑体" w:hAnsi="黑体" w:eastAsia="黑体" w:cs="Times New Roman"/>
        </w:rPr>
        <w:t>第四节 强化土壤和地下水污染协同防治</w:t>
      </w:r>
      <w:bookmarkEnd w:id="122"/>
      <w:bookmarkEnd w:id="123"/>
      <w:bookmarkEnd w:id="124"/>
      <w:bookmarkEnd w:id="125"/>
      <w:bookmarkEnd w:id="126"/>
    </w:p>
    <w:p>
      <w:pPr>
        <w:spacing w:line="540" w:lineRule="exact"/>
        <w:ind w:firstLine="640"/>
      </w:pPr>
    </w:p>
    <w:p>
      <w:pPr>
        <w:numPr>
          <w:ilvl w:val="0"/>
          <w:numId w:val="10"/>
        </w:numPr>
        <w:spacing w:line="540" w:lineRule="exact"/>
        <w:ind w:firstLine="640"/>
        <w:rPr>
          <w:rFonts w:eastAsia="方正仿宋简体" w:cs="Times New Roman"/>
        </w:rPr>
      </w:pPr>
      <w:r>
        <w:rPr>
          <w:rFonts w:eastAsia="方正楷体简体" w:cs="Times New Roman"/>
        </w:rPr>
        <w:t>持续推进土壤与地下水环境状况调查。</w:t>
      </w:r>
      <w:r>
        <w:rPr>
          <w:rFonts w:eastAsia="方正仿宋简体" w:cs="Times New Roman"/>
        </w:rPr>
        <w:t>根据省、市工作部署，进一步查明土壤环境质量状况，完善重点行业企业用地土壤环境质量基础数据库，定期开展土壤污染重点监管单位及周边土壤环境状况监测，配合市有关部门构建土壤环境监测网络。开展地下水环境状况调查，以地下水污染源为重点，推进化工企业、加油站、垃圾填埋场和危险废物处置场等区域周边地下水基础环境状况调查。</w:t>
      </w:r>
    </w:p>
    <w:p>
      <w:pPr>
        <w:numPr>
          <w:ilvl w:val="0"/>
          <w:numId w:val="10"/>
        </w:numPr>
        <w:spacing w:line="540" w:lineRule="exact"/>
        <w:ind w:firstLine="640"/>
        <w:rPr>
          <w:rFonts w:eastAsia="方正仿宋简体" w:cs="Times New Roman"/>
        </w:rPr>
      </w:pPr>
      <w:r>
        <w:rPr>
          <w:rFonts w:eastAsia="方正楷体简体" w:cs="Times New Roman"/>
        </w:rPr>
        <w:t>深化土壤分区分类管理。</w:t>
      </w:r>
      <w:r>
        <w:rPr>
          <w:rFonts w:eastAsia="方正仿宋简体" w:cs="Times New Roman"/>
        </w:rPr>
        <w:t>加快农用地分类管理，定期更新耕地农用地环境质量类别。加强优先保护类农用地持续安全利用，推行施用有机肥、推广中碱性肥料、种植绿肥等管护措施，确保土壤环境质量不下降。针对严格管控类耕地，推进种植结构向重金属低累积或非食用农产品调整。加强重点镇重度污染耕地的用途管理，因地制宜划定特定农产品严格管控区域，严禁种植食用农产品。严格建设用地准入管理，落实建设用地调查评估制度，逐步建立污染地块名录及其开发利用的负面清单，加强建设用地土壤环境状况调查、风险评估和污染地块治理与修复活动的环境监管。</w:t>
      </w:r>
    </w:p>
    <w:p>
      <w:pPr>
        <w:pStyle w:val="9"/>
        <w:numPr>
          <w:ilvl w:val="0"/>
          <w:numId w:val="10"/>
        </w:numPr>
        <w:spacing w:line="540" w:lineRule="exact"/>
        <w:ind w:firstLine="640"/>
        <w:jc w:val="both"/>
        <w:rPr>
          <w:rFonts w:eastAsia="方正仿宋简体" w:cs="Times New Roman"/>
        </w:rPr>
      </w:pPr>
      <w:r>
        <w:rPr>
          <w:rFonts w:eastAsia="方正楷体简体" w:cs="Times New Roman"/>
        </w:rPr>
        <w:t>加强土壤污染综合治理。</w:t>
      </w:r>
      <w:r>
        <w:rPr>
          <w:rFonts w:eastAsia="方正仿宋简体" w:cs="Times New Roman"/>
        </w:rPr>
        <w:t>持续开展土壤污染防治行动，深化土壤污染治理与修复。按照</w:t>
      </w:r>
      <w:r>
        <w:rPr>
          <w:rFonts w:hint="eastAsia" w:ascii="方正仿宋简体" w:eastAsia="方正仿宋简体" w:cs="Times New Roman"/>
        </w:rPr>
        <w:t>“谁污染，谁治理”</w:t>
      </w:r>
      <w:r>
        <w:rPr>
          <w:rFonts w:eastAsia="方正仿宋简体" w:cs="Times New Roman"/>
        </w:rPr>
        <w:t>原则，明确土壤治理与修复主体，造成土壤污染的单位或个人要承担治理与修复的主体责任。根据耕地土壤污染程度、环境风险及其影响范围，实施污染耕地治理与修复。对工业污染地块，鼓励采用</w:t>
      </w:r>
      <w:r>
        <w:rPr>
          <w:rFonts w:hint="eastAsia" w:ascii="方正仿宋简体" w:eastAsia="方正仿宋简体" w:cs="Times New Roman"/>
        </w:rPr>
        <w:t>“环境修复+开发建设”</w:t>
      </w:r>
      <w:r>
        <w:rPr>
          <w:rFonts w:eastAsia="方正仿宋简体" w:cs="Times New Roman"/>
        </w:rPr>
        <w:t>模式，</w:t>
      </w:r>
      <w:r>
        <w:rPr>
          <w:rFonts w:eastAsia="方正仿宋简体" w:cs="Times New Roman"/>
          <w:szCs w:val="32"/>
        </w:rPr>
        <w:t>将第三方治理作为主导模式，探索建立政府、社会、企业共同参与的土壤污染控制与修复市场化机制。</w:t>
      </w:r>
    </w:p>
    <w:p>
      <w:pPr>
        <w:numPr>
          <w:ilvl w:val="0"/>
          <w:numId w:val="10"/>
        </w:numPr>
        <w:spacing w:line="540" w:lineRule="exact"/>
        <w:ind w:firstLine="640"/>
        <w:rPr>
          <w:rFonts w:eastAsia="方正仿宋简体" w:cs="Times New Roman"/>
        </w:rPr>
      </w:pPr>
      <w:r>
        <w:rPr>
          <w:rFonts w:eastAsia="方正楷体简体" w:cs="Times New Roman"/>
        </w:rPr>
        <w:t>协同开展地下水污染防治工作。</w:t>
      </w:r>
      <w:r>
        <w:rPr>
          <w:rFonts w:eastAsia="方正仿宋简体" w:cs="Times New Roman"/>
        </w:rPr>
        <w:t>以高风险的化学品生产企业以及工业集聚区、矿山开采区、尾矿库、危险废物处置场、垃圾填埋场等可能造成地下水污染的场地为重点，开展防渗情况排查与整治。加强建设用地土壤与地下水污染协同防治，在土壤污染状况调查报告、防治方案、修复和风险管控措施中逐步纳入地下水污染防治内容。</w:t>
      </w:r>
    </w:p>
    <w:p>
      <w:pPr>
        <w:pStyle w:val="2"/>
        <w:spacing w:line="540" w:lineRule="exact"/>
        <w:ind w:firstLine="640"/>
        <w:rPr>
          <w:rFonts w:eastAsia="方正仿宋简体"/>
          <w:sz w:val="32"/>
        </w:rPr>
      </w:pPr>
    </w:p>
    <w:p>
      <w:pPr>
        <w:pStyle w:val="4"/>
        <w:spacing w:before="0" w:beforeLines="0" w:line="540" w:lineRule="exact"/>
        <w:rPr>
          <w:rFonts w:ascii="黑体" w:hAnsi="黑体" w:eastAsia="黑体" w:cs="Times New Roman"/>
        </w:rPr>
      </w:pPr>
      <w:bookmarkStart w:id="127" w:name="_Toc31772"/>
      <w:bookmarkStart w:id="128" w:name="_Toc157760720"/>
      <w:bookmarkStart w:id="129" w:name="_Toc13228"/>
      <w:bookmarkStart w:id="130" w:name="_Toc21605"/>
      <w:bookmarkStart w:id="131" w:name="_Toc22906"/>
      <w:r>
        <w:rPr>
          <w:rFonts w:ascii="黑体" w:hAnsi="黑体" w:eastAsia="黑体" w:cs="Times New Roman"/>
        </w:rPr>
        <w:t>第五节 深化农业农村环境治理</w:t>
      </w:r>
      <w:bookmarkEnd w:id="127"/>
      <w:bookmarkEnd w:id="128"/>
      <w:bookmarkEnd w:id="129"/>
      <w:bookmarkEnd w:id="130"/>
      <w:bookmarkEnd w:id="131"/>
    </w:p>
    <w:p>
      <w:pPr>
        <w:spacing w:line="540" w:lineRule="exact"/>
        <w:ind w:firstLine="640"/>
        <w:rPr>
          <w:rFonts w:eastAsia="方正仿宋简体"/>
        </w:rPr>
      </w:pPr>
    </w:p>
    <w:p>
      <w:pPr>
        <w:numPr>
          <w:ilvl w:val="0"/>
          <w:numId w:val="11"/>
        </w:numPr>
        <w:spacing w:line="540" w:lineRule="exact"/>
        <w:ind w:left="0" w:firstLine="640"/>
        <w:rPr>
          <w:rFonts w:eastAsia="方正仿宋简体" w:cs="Times New Roman"/>
        </w:rPr>
      </w:pPr>
      <w:r>
        <w:rPr>
          <w:rFonts w:eastAsia="方正楷体简体" w:cs="Times New Roman"/>
        </w:rPr>
        <w:t>加快推进农村生态环境整治。</w:t>
      </w:r>
      <w:r>
        <w:rPr>
          <w:rFonts w:eastAsia="方正仿宋简体" w:cs="Times New Roman"/>
        </w:rPr>
        <w:t>以加快实施乡村振兴战略为抓手，持续推进实施</w:t>
      </w:r>
      <w:r>
        <w:rPr>
          <w:rFonts w:hint="eastAsia" w:ascii="方正仿宋简体" w:eastAsia="方正仿宋简体" w:cs="Times New Roman"/>
        </w:rPr>
        <w:t>“千村示范、万村整治”</w:t>
      </w:r>
      <w:r>
        <w:rPr>
          <w:rFonts w:eastAsia="方正仿宋简体" w:cs="Times New Roman"/>
        </w:rPr>
        <w:t>工程，改善农村人居环境，推进农村生活垃圾、厕所粪污、生活污水综合治理，健全农村卫生保洁长效机制。</w:t>
      </w:r>
      <w:r>
        <w:rPr>
          <w:rFonts w:eastAsia="方正仿宋简体" w:cs="Times New Roman"/>
          <w:bCs/>
          <w:szCs w:val="32"/>
        </w:rPr>
        <w:t>持续开展</w:t>
      </w:r>
      <w:r>
        <w:rPr>
          <w:rFonts w:eastAsia="方正仿宋简体" w:cs="Times New Roman"/>
        </w:rPr>
        <w:t>农村饮用水水源地环境状况评估，加强</w:t>
      </w:r>
      <w:r>
        <w:rPr>
          <w:rFonts w:eastAsia="方正仿宋简体" w:cs="Times New Roman"/>
          <w:szCs w:val="32"/>
        </w:rPr>
        <w:t>农村饮用水水质监测。因地制宜选择农村生活污水治理模式，城镇周边的自然村优先纳入城镇污水处理厂处理，人口规模较大的自然村优先选择管护简便、建设运维费用低的工艺设备，鼓励有条件的自然村优先选用污水资源化利用的技术路线。</w:t>
      </w:r>
      <w:r>
        <w:rPr>
          <w:rFonts w:eastAsia="方正仿宋简体" w:cs="Times New Roman"/>
        </w:rPr>
        <w:t>根据市农村黑臭水体工作要求，合理安排治理时序，逐步建立长效管理机制，</w:t>
      </w:r>
      <w:r>
        <w:rPr>
          <w:rFonts w:eastAsia="方正仿宋简体" w:cs="Times New Roman"/>
          <w:szCs w:val="32"/>
        </w:rPr>
        <w:t>进一步推进全区农村黑臭水体综合治理，切实保护农村水环境。</w:t>
      </w:r>
      <w:r>
        <w:rPr>
          <w:rFonts w:eastAsia="方正仿宋简体" w:cs="Times New Roman"/>
        </w:rPr>
        <w:t>以高铁、高速沿线村庄为重点，开展美丽宜居村庄和美丽庭院示范创建活动，支持省级新农村连片示范建设工程所在村庄以及有条件的村庄率先建成美丽宜居村、创建特色精品村。</w:t>
      </w:r>
    </w:p>
    <w:p>
      <w:pPr>
        <w:numPr>
          <w:ilvl w:val="0"/>
          <w:numId w:val="11"/>
        </w:numPr>
        <w:spacing w:line="540" w:lineRule="exact"/>
        <w:ind w:left="0" w:firstLine="640"/>
        <w:rPr>
          <w:rFonts w:eastAsia="方正仿宋简体" w:cs="Times New Roman"/>
        </w:rPr>
      </w:pPr>
      <w:r>
        <w:rPr>
          <w:rFonts w:eastAsia="方正楷体简体" w:cs="Times New Roman"/>
        </w:rPr>
        <w:t>加强养殖业污染管控。</w:t>
      </w:r>
      <w:r>
        <w:rPr>
          <w:rFonts w:eastAsia="方正仿宋简体" w:cs="Times New Roman"/>
        </w:rPr>
        <w:t>全力推进塘坪镇生猪家禽养殖业现代化和生猪养殖基地建设，鼓励和指导有条件的畜禽养殖企业畜禽养殖标准化示范创建，持续引导和推进畜禽生态健康养殖和养殖废弃物资源化利用，开展种养有机结合、循环发展试点，加快实施非畜牧大县畜禽粪污资源化利用整县推</w:t>
      </w:r>
      <w:r>
        <w:rPr>
          <w:rFonts w:eastAsia="方正仿宋简体" w:cs="Times New Roman"/>
          <w:color w:val="000000" w:themeColor="text1"/>
          <w14:textFill>
            <w14:solidFill>
              <w14:schemeClr w14:val="tx1"/>
            </w14:solidFill>
          </w14:textFill>
        </w:rPr>
        <w:t>进项目，到2025年，全区畜禽养殖规模化率和畜禽粪污综合利用率分别达到80%和85%以上。优化水产养殖空间布局、产业结构，以雅</w:t>
      </w:r>
      <w:r>
        <w:rPr>
          <w:rFonts w:eastAsia="方正仿宋简体" w:cs="Times New Roman"/>
        </w:rPr>
        <w:t>韶镇、大沟镇、东平镇等南部海洋经济发展区为重点，发展</w:t>
      </w:r>
      <w:r>
        <w:rPr>
          <w:rFonts w:eastAsia="方正仿宋简体" w:cs="Times New Roman"/>
          <w:szCs w:val="32"/>
        </w:rPr>
        <w:t>水产健康生态养殖，鼓励支持规模化养殖池塘标准改造，控制近海养殖网箱数量，大力推进深海养殖，强化水产养殖污染防治，推动水产养殖尾水达标排放。</w:t>
      </w:r>
    </w:p>
    <w:p>
      <w:pPr>
        <w:numPr>
          <w:ilvl w:val="0"/>
          <w:numId w:val="11"/>
        </w:numPr>
        <w:spacing w:line="540" w:lineRule="exact"/>
        <w:ind w:left="0" w:firstLine="640"/>
        <w:rPr>
          <w:rFonts w:eastAsia="方正仿宋简体" w:cs="Times New Roman"/>
          <w:color w:val="000000" w:themeColor="text1"/>
          <w14:textFill>
            <w14:solidFill>
              <w14:schemeClr w14:val="tx1"/>
            </w14:solidFill>
          </w14:textFill>
        </w:rPr>
      </w:pPr>
      <w:r>
        <w:rPr>
          <w:rFonts w:eastAsia="方正楷体简体" w:cs="Times New Roman"/>
        </w:rPr>
        <w:t>强化种植业面源污染防治。</w:t>
      </w:r>
      <w:r>
        <w:rPr>
          <w:rFonts w:eastAsia="方正仿宋简体" w:cs="Times New Roman"/>
        </w:rPr>
        <w:t>以塘坪镇、大八镇、</w:t>
      </w:r>
      <w:r>
        <w:rPr>
          <w:rFonts w:hint="eastAsia" w:eastAsia="方正仿宋简体" w:cs="Times New Roman"/>
        </w:rPr>
        <w:t>新洲</w:t>
      </w:r>
      <w:r>
        <w:rPr>
          <w:rFonts w:eastAsia="方正仿宋简体" w:cs="Times New Roman"/>
        </w:rPr>
        <w:t>镇</w:t>
      </w:r>
      <w:r>
        <w:rPr>
          <w:rFonts w:hint="eastAsia" w:eastAsia="方正仿宋简体" w:cs="Times New Roman"/>
        </w:rPr>
        <w:t>、</w:t>
      </w:r>
      <w:r>
        <w:rPr>
          <w:rFonts w:eastAsia="方正仿宋简体" w:cs="Times New Roman"/>
        </w:rPr>
        <w:t>红丰镇等农业经济发展区为重点，继续推进农药化肥减量增效行动，大力推广测土配方施肥、有机肥替代化肥，推进统防统治与绿色防控融合，引导企业农户施用低毒高效生物农药。切实加强秸秆禁烧管控，发挥雅韶镇试点示范作用，进一步推进秸秆综合利用工作，优化开展就地还田。</w:t>
      </w:r>
      <w:r>
        <w:rPr>
          <w:rFonts w:eastAsia="方正仿宋简体" w:cs="Times New Roman"/>
          <w:szCs w:val="32"/>
        </w:rPr>
        <w:t>加强农药瓶、农膜等废弃物资源化利用，大力推广地膜减量增效技术，</w:t>
      </w:r>
      <w:r>
        <w:rPr>
          <w:rFonts w:eastAsia="方正仿宋简体" w:cs="Times New Roman"/>
        </w:rPr>
        <w:t>完善废旧地膜等回收处理制度，积极开展农药包装废弃物回收处置试点工作。到2025年，全区化肥、农药利用率均</w:t>
      </w:r>
      <w:r>
        <w:rPr>
          <w:rFonts w:eastAsia="方正仿宋简体" w:cs="Times New Roman"/>
          <w:color w:val="000000" w:themeColor="text1"/>
          <w14:textFill>
            <w14:solidFill>
              <w14:schemeClr w14:val="tx1"/>
            </w14:solidFill>
          </w14:textFill>
        </w:rPr>
        <w:t>达到4</w:t>
      </w:r>
      <w:r>
        <w:rPr>
          <w:rFonts w:hint="eastAsia" w:eastAsia="方正仿宋简体" w:cs="Times New Roman"/>
          <w:color w:val="000000" w:themeColor="text1"/>
          <w14:textFill>
            <w14:solidFill>
              <w14:schemeClr w14:val="tx1"/>
            </w14:solidFill>
          </w14:textFill>
        </w:rPr>
        <w:t>3</w:t>
      </w:r>
      <w:r>
        <w:rPr>
          <w:rFonts w:eastAsia="方正仿宋简体" w:cs="Times New Roman"/>
          <w:color w:val="000000" w:themeColor="text1"/>
          <w14:textFill>
            <w14:solidFill>
              <w14:schemeClr w14:val="tx1"/>
            </w14:solidFill>
          </w14:textFill>
        </w:rPr>
        <w:t>%以上，测土配方施肥技术推广覆盖率提高90%以上，秸秆综合利用率达到</w:t>
      </w:r>
      <w:r>
        <w:rPr>
          <w:rFonts w:hint="eastAsia" w:eastAsia="方正仿宋简体" w:cs="Times New Roman"/>
          <w:color w:val="000000" w:themeColor="text1"/>
          <w14:textFill>
            <w14:solidFill>
              <w14:schemeClr w14:val="tx1"/>
            </w14:solidFill>
          </w14:textFill>
        </w:rPr>
        <w:t>86</w:t>
      </w:r>
      <w:r>
        <w:rPr>
          <w:rFonts w:eastAsia="方正仿宋简体" w:cs="Times New Roman"/>
          <w:color w:val="000000" w:themeColor="text1"/>
          <w14:textFill>
            <w14:solidFill>
              <w14:schemeClr w14:val="tx1"/>
            </w14:solidFill>
          </w14:textFill>
        </w:rPr>
        <w:t>%以上，农膜回收率达</w:t>
      </w:r>
      <w:r>
        <w:rPr>
          <w:rFonts w:hint="eastAsia" w:eastAsia="方正仿宋简体" w:cs="Times New Roman"/>
          <w:color w:val="000000" w:themeColor="text1"/>
          <w14:textFill>
            <w14:solidFill>
              <w14:schemeClr w14:val="tx1"/>
            </w14:solidFill>
          </w14:textFill>
        </w:rPr>
        <w:t>85</w:t>
      </w:r>
      <w:r>
        <w:rPr>
          <w:rFonts w:eastAsia="方正仿宋简体" w:cs="Times New Roman"/>
          <w:color w:val="000000" w:themeColor="text1"/>
          <w14:textFill>
            <w14:solidFill>
              <w14:schemeClr w14:val="tx1"/>
            </w14:solidFill>
          </w14:textFill>
        </w:rPr>
        <w:t>%以上。</w:t>
      </w:r>
    </w:p>
    <w:p>
      <w:pPr>
        <w:pStyle w:val="2"/>
        <w:spacing w:line="540" w:lineRule="exact"/>
        <w:ind w:firstLine="640"/>
        <w:rPr>
          <w:rFonts w:eastAsia="方正仿宋简体"/>
          <w:sz w:val="32"/>
        </w:rPr>
      </w:pPr>
    </w:p>
    <w:p>
      <w:pPr>
        <w:pStyle w:val="4"/>
        <w:spacing w:before="0" w:beforeLines="0" w:line="540" w:lineRule="exact"/>
        <w:rPr>
          <w:rFonts w:ascii="黑体" w:hAnsi="黑体" w:eastAsia="黑体" w:cs="Times New Roman"/>
        </w:rPr>
      </w:pPr>
      <w:bookmarkStart w:id="132" w:name="_Toc9984"/>
      <w:bookmarkStart w:id="133" w:name="_Toc157760721"/>
      <w:bookmarkStart w:id="134" w:name="_Toc10715"/>
      <w:r>
        <w:rPr>
          <w:rFonts w:ascii="黑体" w:hAnsi="黑体" w:eastAsia="黑体" w:cs="Times New Roman"/>
        </w:rPr>
        <w:t>第六节 加强噪声污染综合管理</w:t>
      </w:r>
      <w:bookmarkEnd w:id="132"/>
      <w:bookmarkEnd w:id="133"/>
      <w:bookmarkEnd w:id="134"/>
    </w:p>
    <w:p>
      <w:pPr>
        <w:spacing w:line="540" w:lineRule="exact"/>
        <w:ind w:firstLine="640"/>
        <w:rPr>
          <w:rFonts w:eastAsia="方正仿宋简体"/>
        </w:rPr>
      </w:pPr>
    </w:p>
    <w:p>
      <w:pPr>
        <w:numPr>
          <w:ilvl w:val="0"/>
          <w:numId w:val="12"/>
        </w:numPr>
        <w:spacing w:line="540" w:lineRule="exact"/>
        <w:ind w:left="0" w:firstLine="640"/>
        <w:rPr>
          <w:rFonts w:eastAsia="方正仿宋简体" w:cs="Times New Roman"/>
        </w:rPr>
      </w:pPr>
      <w:r>
        <w:rPr>
          <w:rFonts w:eastAsia="方正楷体简体" w:cs="Times New Roman"/>
        </w:rPr>
        <w:t>强化噪声源头控制。</w:t>
      </w:r>
      <w:r>
        <w:rPr>
          <w:rFonts w:eastAsia="方正仿宋简体" w:cs="Times New Roman"/>
        </w:rPr>
        <w:t>严格落实阳江市市区声环境功能区区划，在国土空间规划中统筹推进声环境管理，充分考虑建设项目和区域开发、改造所产生的噪声对周围生活环境的影响，城市建设中合理确定建筑物与交通干线的防噪声距离，并纳入项目准入管理要求，防止或者减轻环境噪声污染。在城市规划建设中将隔声降噪技术融合到绿色建筑设计领域，推广使用低噪声路面材料。</w:t>
      </w:r>
    </w:p>
    <w:p>
      <w:pPr>
        <w:numPr>
          <w:ilvl w:val="0"/>
          <w:numId w:val="12"/>
        </w:numPr>
        <w:spacing w:line="540" w:lineRule="exact"/>
        <w:ind w:left="0" w:firstLine="640"/>
        <w:rPr>
          <w:rFonts w:eastAsia="方正仿宋简体" w:cs="Times New Roman"/>
        </w:rPr>
      </w:pPr>
      <w:r>
        <w:rPr>
          <w:rFonts w:eastAsia="方正楷体简体" w:cs="Times New Roman"/>
        </w:rPr>
        <w:t>加强各类噪声污染防治。</w:t>
      </w:r>
      <w:r>
        <w:rPr>
          <w:rFonts w:eastAsia="方正仿宋简体" w:cs="Times New Roman"/>
        </w:rPr>
        <w:t>实行交通、建筑施工、社会生活和工业企业等噪声分类管理。加强道路交通噪声污染防治，配合交通运输主管部门在全区主要道路交通噪声敏感点配套建设声屏障、安装降噪装置、种植绿化带等噪声防治设施。加强施工噪声污染防治，推进工地智慧管控项目建设，安装可移动式视频、噪声、扬尘监控系统及扩音设备，实现远程监控监管，在工地出入口安装噪声显示系统；严格施工管理，加强夜间施工噪声监管，加大建筑施工噪声现场管理违法行为查处力度。加强社会生活噪声污染防治，严格执行《社会生活环境噪声排放标准》，加强控制维修、餐饮、娱乐及其他商业服务业噪声污染，重点查处噪声敏感区噪声违法行为。加强工业园区噪声污染防治，提高噪声污染准入标准，加大敏感区内噪声排放超标污染源治理和关停力度。</w:t>
      </w:r>
    </w:p>
    <w:p>
      <w:pPr>
        <w:pStyle w:val="7"/>
        <w:numPr>
          <w:ilvl w:val="0"/>
          <w:numId w:val="12"/>
        </w:numPr>
        <w:spacing w:line="540" w:lineRule="exact"/>
        <w:ind w:left="0" w:firstLine="640"/>
        <w:rPr>
          <w:rFonts w:ascii="Times New Roman" w:cs="Times New Roman"/>
        </w:rPr>
        <w:sectPr>
          <w:pgSz w:w="11906" w:h="16838"/>
          <w:pgMar w:top="2098" w:right="1474" w:bottom="1984" w:left="1587" w:header="851" w:footer="992" w:gutter="0"/>
          <w:cols w:space="425" w:num="1"/>
          <w:docGrid w:type="lines" w:linePitch="312" w:charSpace="0"/>
        </w:sectPr>
      </w:pPr>
      <w:r>
        <w:rPr>
          <w:rFonts w:ascii="Times New Roman" w:eastAsia="方正楷体简体" w:cs="Times New Roman"/>
        </w:rPr>
        <w:t>推进声环境长效管理。</w:t>
      </w:r>
      <w:r>
        <w:rPr>
          <w:rFonts w:ascii="Times New Roman" w:eastAsia="方正仿宋简体" w:cs="Times New Roman"/>
        </w:rPr>
        <w:t>加大与城管、交通等部门沟通协作，加强噪声污染信访投诉处置，建立多部门的噪声污染投诉信息共享机制，确保噪声信访投诉100%处理、群众100%满意。严格噪声污染监管执法，建立日常巡查机制，以控制建筑施工噪声、餐饮娱乐噪声以及严查噪声扰民现象为重点，开展噪声污染防治专项执法行动，</w:t>
      </w:r>
      <w:r>
        <w:rPr>
          <w:rFonts w:hint="eastAsia" w:ascii="Times New Roman" w:eastAsia="方正仿宋简体" w:cs="Times New Roman"/>
        </w:rPr>
        <w:t>依法查处</w:t>
      </w:r>
      <w:r>
        <w:rPr>
          <w:rFonts w:ascii="Times New Roman" w:eastAsia="方正仿宋简体" w:cs="Times New Roman"/>
        </w:rPr>
        <w:t>扰民违法行为。</w:t>
      </w:r>
    </w:p>
    <w:p>
      <w:pPr>
        <w:pStyle w:val="3"/>
        <w:numPr>
          <w:ilvl w:val="0"/>
          <w:numId w:val="1"/>
        </w:numPr>
        <w:rPr>
          <w:rFonts w:ascii="方正小标宋简体" w:eastAsia="方正小标宋简体" w:cs="Times New Roman"/>
        </w:rPr>
      </w:pPr>
      <w:bookmarkStart w:id="135" w:name="_Toc23580"/>
      <w:bookmarkStart w:id="136" w:name="_Toc31312"/>
      <w:bookmarkStart w:id="137" w:name="_Toc157760722"/>
      <w:bookmarkStart w:id="138" w:name="_Toc28464"/>
      <w:bookmarkStart w:id="139" w:name="_Toc25063"/>
      <w:r>
        <w:rPr>
          <w:rFonts w:hint="eastAsia" w:ascii="方正小标宋简体" w:eastAsia="方正小标宋简体" w:cs="Times New Roman"/>
        </w:rPr>
        <w:t>全过程管控，有效防范降低环境风险</w:t>
      </w:r>
      <w:bookmarkEnd w:id="135"/>
      <w:bookmarkEnd w:id="136"/>
      <w:bookmarkEnd w:id="137"/>
      <w:bookmarkEnd w:id="138"/>
      <w:bookmarkEnd w:id="139"/>
    </w:p>
    <w:p>
      <w:pPr>
        <w:spacing w:line="570" w:lineRule="exact"/>
        <w:ind w:firstLine="640"/>
        <w:rPr>
          <w:rFonts w:eastAsia="方正仿宋简体"/>
        </w:rPr>
      </w:pPr>
    </w:p>
    <w:p>
      <w:pPr>
        <w:spacing w:line="570" w:lineRule="exact"/>
        <w:ind w:firstLine="640"/>
        <w:rPr>
          <w:rFonts w:eastAsia="方正仿宋简体" w:cs="Times New Roman"/>
        </w:rPr>
      </w:pPr>
      <w:r>
        <w:rPr>
          <w:rFonts w:eastAsia="方正仿宋简体" w:cs="Times New Roman"/>
        </w:rPr>
        <w:t>按</w:t>
      </w:r>
      <w:r>
        <w:rPr>
          <w:rFonts w:hint="eastAsia" w:ascii="方正仿宋简体" w:eastAsia="方正仿宋简体" w:cs="Times New Roman"/>
        </w:rPr>
        <w:t>照“预防为主，防控结合”的</w:t>
      </w:r>
      <w:r>
        <w:rPr>
          <w:rFonts w:eastAsia="方正仿宋简体" w:cs="Times New Roman"/>
        </w:rPr>
        <w:t>原则，牢固树立环境风险防控底线思维，认真落实环境风险防范措施，全面提高固体废物污染防治能力、重金属和危险化学品风险管控能力、核与辐射安全监管能力，切实有效防范环境风险。</w:t>
      </w:r>
    </w:p>
    <w:p>
      <w:pPr>
        <w:pStyle w:val="2"/>
        <w:spacing w:line="570" w:lineRule="exact"/>
        <w:ind w:firstLine="640"/>
        <w:rPr>
          <w:rFonts w:eastAsia="方正仿宋简体"/>
          <w:sz w:val="32"/>
        </w:rPr>
      </w:pPr>
    </w:p>
    <w:p>
      <w:pPr>
        <w:pStyle w:val="4"/>
        <w:spacing w:before="0" w:beforeLines="0"/>
        <w:rPr>
          <w:rFonts w:ascii="黑体" w:hAnsi="黑体" w:eastAsia="黑体" w:cs="Times New Roman"/>
        </w:rPr>
      </w:pPr>
      <w:bookmarkStart w:id="140" w:name="_Toc6452"/>
      <w:bookmarkStart w:id="141" w:name="_Toc13693"/>
      <w:bookmarkStart w:id="142" w:name="_Toc157760723"/>
      <w:bookmarkStart w:id="143" w:name="_Toc29718"/>
      <w:bookmarkStart w:id="144" w:name="_Toc4364"/>
      <w:r>
        <w:rPr>
          <w:rFonts w:ascii="黑体" w:hAnsi="黑体" w:eastAsia="黑体" w:cs="Times New Roman"/>
        </w:rPr>
        <w:t>第一节 加强固体废物污染防治</w:t>
      </w:r>
      <w:bookmarkEnd w:id="140"/>
      <w:bookmarkEnd w:id="141"/>
      <w:bookmarkEnd w:id="142"/>
      <w:bookmarkEnd w:id="143"/>
      <w:bookmarkEnd w:id="144"/>
    </w:p>
    <w:p>
      <w:pPr>
        <w:ind w:firstLine="640"/>
      </w:pPr>
    </w:p>
    <w:p>
      <w:pPr>
        <w:numPr>
          <w:ilvl w:val="0"/>
          <w:numId w:val="13"/>
        </w:numPr>
        <w:spacing w:line="570" w:lineRule="exact"/>
        <w:ind w:firstLine="640"/>
        <w:rPr>
          <w:rFonts w:eastAsia="方正仿宋简体" w:cs="Times New Roman"/>
        </w:rPr>
      </w:pPr>
      <w:r>
        <w:rPr>
          <w:rFonts w:eastAsia="方正楷体简体" w:cs="Times New Roman"/>
        </w:rPr>
        <w:t>提高生活垃圾处理处置能力。</w:t>
      </w:r>
      <w:r>
        <w:rPr>
          <w:rFonts w:eastAsia="方正仿宋简体" w:cs="Times New Roman"/>
        </w:rPr>
        <w:t>加快完成阳东区生活垃圾焚烧处理和资源再利用项目建设。加强餐厨垃圾源头减量、分类排放，逐步规范垃圾</w:t>
      </w:r>
      <w:r>
        <w:rPr>
          <w:rFonts w:hint="eastAsia" w:eastAsia="方正仿宋简体" w:cs="Times New Roman"/>
        </w:rPr>
        <w:t>全链条闭环</w:t>
      </w:r>
      <w:r>
        <w:rPr>
          <w:rFonts w:eastAsia="方正仿宋简体" w:cs="Times New Roman"/>
        </w:rPr>
        <w:t>分类收运体系，逐步推广城乡生活垃圾分类服务范围，到2025年，城区要基本建成生活垃圾分类处理系统。进一步做好阳东区农村生活垃圾收运工作，规范运营生活垃圾中转站，优化村庄垃圾收集点（桶）配置，适当增加生活垃圾产生量较大村庄垃圾收运频率，建立保洁员监督制度，强化对村庄保洁员管理，确保生活垃圾日产日清，防止出现垃圾堆积现象，提升村庄保洁效果。</w:t>
      </w:r>
    </w:p>
    <w:p>
      <w:pPr>
        <w:numPr>
          <w:ilvl w:val="0"/>
          <w:numId w:val="13"/>
        </w:numPr>
        <w:spacing w:line="570" w:lineRule="exact"/>
        <w:ind w:firstLine="640"/>
        <w:rPr>
          <w:rFonts w:eastAsia="方正仿宋简体" w:cs="Times New Roman"/>
        </w:rPr>
      </w:pPr>
      <w:r>
        <w:rPr>
          <w:rFonts w:eastAsia="方正楷体简体" w:cs="Times New Roman"/>
        </w:rPr>
        <w:t>强化一般工业固体废物处理处置。</w:t>
      </w:r>
      <w:r>
        <w:rPr>
          <w:rFonts w:eastAsia="方正仿宋简体" w:cs="Times New Roman"/>
        </w:rPr>
        <w:t>加快阳江市阳东区固体废物利用处置项目建设。推动一般工业固体废物源头减量和资源利用，推进一般工业企业固体废物分类收集、分类贮存、分类处置，推动工业再生资源区外协同处置。根据省、市工作要求，督促产废企业加快完成广东省固体废物管理信息平台申报，加强对产废单位、固废处置单位的监管，对申报单位进行数据质量抽查核查工作，巩固平台申报的规范性。</w:t>
      </w:r>
    </w:p>
    <w:p>
      <w:pPr>
        <w:numPr>
          <w:ilvl w:val="0"/>
          <w:numId w:val="13"/>
        </w:numPr>
        <w:spacing w:line="570" w:lineRule="exact"/>
        <w:ind w:firstLine="640"/>
        <w:rPr>
          <w:rFonts w:eastAsia="方正仿宋简体" w:cs="Times New Roman"/>
        </w:rPr>
      </w:pPr>
      <w:r>
        <w:rPr>
          <w:rFonts w:eastAsia="方正楷体简体" w:cs="Times New Roman"/>
        </w:rPr>
        <w:t>加强危险废物监管和利用处置能力建设。</w:t>
      </w:r>
      <w:r>
        <w:rPr>
          <w:rFonts w:eastAsia="方正仿宋简体" w:cs="Times New Roman"/>
        </w:rPr>
        <w:t>继续做好危险废物环境安全和规范化管理专项工作，加强对汽修、铸造等行业的监管，排查可能导致环境污染或突发环境事件的环境风险隐患。严格执行危险废物转移联单管理制度，督促危险废物产生、运输、接收单位严格落实安全管理规定。协助省做好固体废物环境监管信息平台建设，利用信息化手段，强化对危险废物全过程监管。加强调度指导协调，推动构建危险废物非法转移倾倒联防联控工作机制，持续做好危险废物违法倾倒点后期风险管控。加快补上危险废物利用处置设施短板，结合能力缺口和产业结构，推进各类型利用处置设施建设。推进医疗废物安全处理处置，继续加强对医疗机构和医疗废物处置机构监管，对医疗机构申报、转移的医疗废物进行质量抽查核查，督促医疗机构做好危险废物规范化管理。加快完成阳江市医疗废物焚烧处理项目</w:t>
      </w:r>
      <w:r>
        <w:rPr>
          <w:rFonts w:hint="eastAsia" w:eastAsia="方正仿宋简体" w:cs="Times New Roman"/>
        </w:rPr>
        <w:t>二期工程建设</w:t>
      </w:r>
      <w:r>
        <w:rPr>
          <w:rFonts w:eastAsia="方正仿宋简体" w:cs="Times New Roman"/>
        </w:rPr>
        <w:t>。全面完善全区医疗废物收集转运处置体系并覆盖至农村地区，确保县级以上的医疗废物全部得到无害化处置。</w:t>
      </w:r>
    </w:p>
    <w:p>
      <w:pPr>
        <w:numPr>
          <w:ilvl w:val="0"/>
          <w:numId w:val="13"/>
        </w:numPr>
        <w:spacing w:line="570" w:lineRule="exact"/>
        <w:ind w:firstLine="640"/>
        <w:rPr>
          <w:rFonts w:eastAsia="方正仿宋简体" w:cs="Times New Roman"/>
        </w:rPr>
      </w:pPr>
      <w:r>
        <w:rPr>
          <w:rFonts w:eastAsia="方正楷体简体" w:cs="Times New Roman"/>
        </w:rPr>
        <w:t>加强其他固体废物污染治理。</w:t>
      </w:r>
      <w:r>
        <w:rPr>
          <w:rFonts w:eastAsia="方正仿宋简体" w:cs="Times New Roman"/>
        </w:rPr>
        <w:t>加快推进污泥无害化处置和资源化利用，完成市政污泥综合利用项目技改升级，做好污泥处理处置全流程监管能力建设。加快建筑废弃物源头减量、减排与回收利用，开展建筑垃圾分类管理，规范建筑垃圾堆放、中转和资源化利用场所建设和运营管理。推进工程渣土、工程泥浆、拆除垃圾、工程垃圾、装修垃圾等资源化利用，提升再生产品的市场使用规模，严控余泥渣土污染。</w:t>
      </w:r>
    </w:p>
    <w:p>
      <w:pPr>
        <w:pStyle w:val="2"/>
        <w:spacing w:line="570" w:lineRule="exact"/>
        <w:ind w:firstLine="640"/>
        <w:rPr>
          <w:rFonts w:eastAsia="方正仿宋简体"/>
          <w:sz w:val="32"/>
        </w:rPr>
      </w:pPr>
    </w:p>
    <w:p>
      <w:pPr>
        <w:pStyle w:val="4"/>
        <w:spacing w:before="0" w:beforeLines="0"/>
        <w:rPr>
          <w:rFonts w:ascii="黑体" w:hAnsi="黑体" w:eastAsia="黑体" w:cs="Times New Roman"/>
        </w:rPr>
      </w:pPr>
      <w:bookmarkStart w:id="145" w:name="_Toc28567"/>
      <w:bookmarkStart w:id="146" w:name="_Toc157760724"/>
      <w:bookmarkStart w:id="147" w:name="_Toc21505"/>
      <w:bookmarkStart w:id="148" w:name="_Toc11934"/>
      <w:bookmarkStart w:id="149" w:name="_Toc27692"/>
      <w:r>
        <w:rPr>
          <w:rFonts w:ascii="黑体" w:hAnsi="黑体" w:eastAsia="黑体" w:cs="Times New Roman"/>
        </w:rPr>
        <w:t>第二节 加强重金属和危险化学品环境风险防控</w:t>
      </w:r>
      <w:bookmarkEnd w:id="145"/>
      <w:bookmarkEnd w:id="146"/>
      <w:bookmarkEnd w:id="147"/>
      <w:bookmarkEnd w:id="148"/>
      <w:bookmarkEnd w:id="149"/>
    </w:p>
    <w:p>
      <w:pPr>
        <w:ind w:firstLine="640"/>
      </w:pPr>
    </w:p>
    <w:p>
      <w:pPr>
        <w:numPr>
          <w:ilvl w:val="0"/>
          <w:numId w:val="14"/>
        </w:numPr>
        <w:spacing w:line="570" w:lineRule="exact"/>
        <w:ind w:firstLine="640"/>
        <w:rPr>
          <w:rFonts w:eastAsia="方正仿宋简体" w:cs="Times New Roman"/>
        </w:rPr>
      </w:pPr>
      <w:r>
        <w:rPr>
          <w:rFonts w:eastAsia="方正楷体简体" w:cs="Times New Roman"/>
        </w:rPr>
        <w:t>持续推进重金属污染防控。</w:t>
      </w:r>
      <w:r>
        <w:rPr>
          <w:rFonts w:eastAsia="方正仿宋简体" w:cs="Times New Roman"/>
        </w:rPr>
        <w:t>推进涉重金属行业企业重金属减排，动态更新涉重金属重点行业企业全口径清单。严格重点重金属环境准入，对新、改、扩建涉重点重金属重点行业建设项目实施重点重金属</w:t>
      </w:r>
      <w:r>
        <w:rPr>
          <w:rFonts w:hint="eastAsia" w:ascii="方正仿宋简体" w:eastAsia="方正仿宋简体" w:cs="Times New Roman"/>
        </w:rPr>
        <w:t>“减量置换”或“等量替换”</w:t>
      </w:r>
      <w:r>
        <w:rPr>
          <w:rFonts w:eastAsia="方正仿宋简体" w:cs="Times New Roman"/>
        </w:rPr>
        <w:t>。推动含有铅、汞、镉、铬等重金属污染物排放的企业开展强制性清洁生产审核，现有重金属污染物排放企业在新一轮清洁生产审核中实施提标改造。</w:t>
      </w:r>
    </w:p>
    <w:p>
      <w:pPr>
        <w:numPr>
          <w:ilvl w:val="0"/>
          <w:numId w:val="14"/>
        </w:numPr>
        <w:spacing w:line="570" w:lineRule="exact"/>
        <w:ind w:firstLine="640"/>
        <w:rPr>
          <w:rFonts w:eastAsia="方正仿宋简体" w:cs="Times New Roman"/>
        </w:rPr>
      </w:pPr>
      <w:r>
        <w:rPr>
          <w:rFonts w:eastAsia="方正楷体简体" w:cs="Times New Roman"/>
        </w:rPr>
        <w:t>加强危险化学品环境风险防控。</w:t>
      </w:r>
      <w:r>
        <w:rPr>
          <w:rFonts w:eastAsia="方正仿宋简体" w:cs="Times New Roman"/>
        </w:rPr>
        <w:t>严格实施阳江市首批危险化学品禁限控目录，新建生产、储存、使用危险化学品的企业应集中布局。严格废弃危险化学品安全处置，确保分类存放和依法依规处理处置，推进化学园区的废弃危险化学品收集贮存转运工作，着力防范化解安全风险，坚决遏制安全事故发生。</w:t>
      </w:r>
    </w:p>
    <w:p>
      <w:pPr>
        <w:pStyle w:val="2"/>
        <w:spacing w:line="570" w:lineRule="exact"/>
        <w:ind w:firstLine="640"/>
        <w:rPr>
          <w:rFonts w:eastAsia="方正仿宋简体"/>
          <w:sz w:val="32"/>
        </w:rPr>
      </w:pPr>
    </w:p>
    <w:p>
      <w:pPr>
        <w:pStyle w:val="4"/>
        <w:spacing w:before="0" w:beforeLines="0"/>
        <w:rPr>
          <w:rFonts w:ascii="黑体" w:hAnsi="黑体" w:eastAsia="黑体" w:cs="Times New Roman"/>
        </w:rPr>
      </w:pPr>
      <w:bookmarkStart w:id="150" w:name="_Toc6811"/>
      <w:bookmarkStart w:id="151" w:name="_Toc24712"/>
      <w:bookmarkStart w:id="152" w:name="_Toc4706"/>
      <w:bookmarkStart w:id="153" w:name="_Toc157760725"/>
      <w:bookmarkStart w:id="154" w:name="_Toc30770"/>
      <w:r>
        <w:rPr>
          <w:rFonts w:ascii="黑体" w:hAnsi="黑体" w:eastAsia="黑体" w:cs="Times New Roman"/>
        </w:rPr>
        <w:t>第三节 加强核与辐射安全监管</w:t>
      </w:r>
      <w:bookmarkEnd w:id="150"/>
      <w:bookmarkEnd w:id="151"/>
      <w:bookmarkEnd w:id="152"/>
      <w:bookmarkEnd w:id="153"/>
      <w:bookmarkEnd w:id="154"/>
    </w:p>
    <w:p>
      <w:pPr>
        <w:spacing w:line="570" w:lineRule="exact"/>
        <w:ind w:firstLine="640"/>
        <w:rPr>
          <w:rFonts w:eastAsia="方正仿宋简体"/>
        </w:rPr>
      </w:pPr>
    </w:p>
    <w:p>
      <w:pPr>
        <w:numPr>
          <w:ilvl w:val="0"/>
          <w:numId w:val="15"/>
        </w:numPr>
        <w:spacing w:line="570" w:lineRule="exact"/>
        <w:ind w:firstLine="640"/>
        <w:rPr>
          <w:rFonts w:eastAsia="方正仿宋简体" w:cs="Times New Roman"/>
        </w:rPr>
      </w:pPr>
      <w:r>
        <w:rPr>
          <w:rFonts w:eastAsia="方正楷体简体" w:cs="Times New Roman"/>
        </w:rPr>
        <w:t>强化核与辐射应急管理能力建设。</w:t>
      </w:r>
      <w:r>
        <w:rPr>
          <w:rFonts w:eastAsia="方正仿宋简体" w:cs="Times New Roman"/>
        </w:rPr>
        <w:t>深入开展核技术利用单位辐射安全管理标准化建设，完善辐射环境监测网络和高风险移动放射源在线监控系统，制定应急方案，强化辐射事故应急管理。提升核应急响应能力，加强核与辐射安全监管队伍建设与应急物资储备，完善专业人员配备，摸清现有的和应急时可以征用或调用的抢险设备及专用物资现状，配齐核与辐射应急仪器、设备、防护用品、药品等专用核应急物资，加强核应急演习演练。加强公众沟通，开展核应急培训及科普宣传。</w:t>
      </w:r>
    </w:p>
    <w:p>
      <w:pPr>
        <w:numPr>
          <w:ilvl w:val="0"/>
          <w:numId w:val="15"/>
        </w:numPr>
        <w:spacing w:line="570" w:lineRule="exact"/>
        <w:ind w:firstLine="640"/>
        <w:rPr>
          <w:rFonts w:cs="Times New Roman"/>
        </w:rPr>
        <w:sectPr>
          <w:pgSz w:w="11906" w:h="16838"/>
          <w:pgMar w:top="2098" w:right="1474" w:bottom="1984" w:left="1587" w:header="851" w:footer="992" w:gutter="0"/>
          <w:cols w:space="425" w:num="1"/>
          <w:docGrid w:type="lines" w:linePitch="312" w:charSpace="0"/>
        </w:sectPr>
      </w:pPr>
      <w:r>
        <w:rPr>
          <w:rFonts w:eastAsia="方正楷体简体" w:cs="Times New Roman"/>
        </w:rPr>
        <w:t>提升核与辐射安全监管水平。</w:t>
      </w:r>
      <w:r>
        <w:rPr>
          <w:rFonts w:eastAsia="方正仿宋简体" w:cs="Times New Roman"/>
          <w:szCs w:val="32"/>
        </w:rPr>
        <w:t>积极配合国家核安全监管部门，监督核设施单位严格落实核设施安全的法律法规要求。</w:t>
      </w:r>
      <w:r>
        <w:rPr>
          <w:rFonts w:eastAsia="方正仿宋简体" w:cs="Times New Roman"/>
        </w:rPr>
        <w:t>加强对放射性和电磁辐射装置许可证管理，从源头控制和防范安全隐患。强化放射源、射线装置、高压输变电及移动通信基站等辐射环境管理，全面提升区域辐射安全水平。规范放射性物品运输和废旧放射源安全管理，推动废旧放射源回收再利用，实现废旧放射源100%收贮。</w:t>
      </w:r>
    </w:p>
    <w:p>
      <w:pPr>
        <w:pStyle w:val="3"/>
        <w:numPr>
          <w:ilvl w:val="0"/>
          <w:numId w:val="1"/>
        </w:numPr>
        <w:rPr>
          <w:rFonts w:ascii="方正小标宋简体" w:eastAsia="方正小标宋简体" w:cs="Times New Roman"/>
        </w:rPr>
      </w:pPr>
      <w:bookmarkStart w:id="155" w:name="_Toc157760726"/>
      <w:bookmarkStart w:id="156" w:name="_Toc9998"/>
      <w:bookmarkStart w:id="157" w:name="_Toc19433"/>
      <w:bookmarkStart w:id="158" w:name="_Toc7618"/>
      <w:bookmarkStart w:id="159" w:name="_Toc18810"/>
      <w:r>
        <w:rPr>
          <w:rFonts w:hint="eastAsia" w:ascii="方正小标宋简体" w:eastAsia="方正小标宋简体" w:cs="Times New Roman"/>
        </w:rPr>
        <w:t>高效能监管，推进环境治理体系和能力现代化</w:t>
      </w:r>
      <w:bookmarkEnd w:id="155"/>
      <w:bookmarkEnd w:id="156"/>
      <w:bookmarkEnd w:id="157"/>
      <w:bookmarkEnd w:id="158"/>
      <w:bookmarkEnd w:id="159"/>
    </w:p>
    <w:p>
      <w:pPr>
        <w:spacing w:line="570" w:lineRule="exact"/>
        <w:ind w:firstLine="640"/>
        <w:rPr>
          <w:rFonts w:eastAsia="方正仿宋简体"/>
        </w:rPr>
      </w:pPr>
    </w:p>
    <w:p>
      <w:pPr>
        <w:spacing w:line="570" w:lineRule="exact"/>
        <w:ind w:firstLine="640"/>
        <w:rPr>
          <w:rFonts w:eastAsia="方正仿宋简体" w:cs="Times New Roman"/>
        </w:rPr>
      </w:pPr>
      <w:r>
        <w:rPr>
          <w:rFonts w:eastAsia="方正仿宋简体" w:cs="Times New Roman"/>
        </w:rPr>
        <w:t>对标新时期、新形势下生态环境保护的总体要求，全面加强党对生态环境保护工作的领导，完善责任体系、提升治理能力、优化治理机制，推进生态环境治理体系和治理能力现代化建设，为持续改善生态环境提供有力制度保障。</w:t>
      </w:r>
    </w:p>
    <w:p>
      <w:pPr>
        <w:pStyle w:val="2"/>
        <w:spacing w:line="570" w:lineRule="exact"/>
        <w:ind w:firstLine="640"/>
        <w:rPr>
          <w:rFonts w:eastAsia="方正仿宋简体"/>
          <w:sz w:val="32"/>
        </w:rPr>
      </w:pPr>
    </w:p>
    <w:p>
      <w:pPr>
        <w:pStyle w:val="4"/>
        <w:spacing w:before="0" w:beforeLines="0"/>
        <w:rPr>
          <w:rFonts w:ascii="黑体" w:hAnsi="黑体" w:eastAsia="黑体" w:cs="Times New Roman"/>
        </w:rPr>
      </w:pPr>
      <w:bookmarkStart w:id="160" w:name="_Toc25102"/>
      <w:bookmarkStart w:id="161" w:name="_Toc668"/>
      <w:bookmarkStart w:id="162" w:name="_Toc31837"/>
      <w:bookmarkStart w:id="163" w:name="_Toc15815"/>
      <w:bookmarkStart w:id="164" w:name="_Toc157760727"/>
      <w:r>
        <w:rPr>
          <w:rFonts w:ascii="黑体" w:hAnsi="黑体" w:eastAsia="黑体" w:cs="Times New Roman"/>
        </w:rPr>
        <w:t>第一节 健全生态环境治理责任体</w:t>
      </w:r>
      <w:bookmarkEnd w:id="160"/>
      <w:bookmarkEnd w:id="161"/>
      <w:r>
        <w:rPr>
          <w:rFonts w:ascii="黑体" w:hAnsi="黑体" w:eastAsia="黑体" w:cs="Times New Roman"/>
        </w:rPr>
        <w:t>系</w:t>
      </w:r>
      <w:bookmarkEnd w:id="162"/>
      <w:bookmarkEnd w:id="163"/>
      <w:bookmarkEnd w:id="164"/>
    </w:p>
    <w:p>
      <w:pPr>
        <w:spacing w:line="570" w:lineRule="exact"/>
        <w:ind w:firstLine="640"/>
        <w:rPr>
          <w:rFonts w:eastAsia="方正仿宋简体"/>
        </w:rPr>
      </w:pPr>
    </w:p>
    <w:p>
      <w:pPr>
        <w:numPr>
          <w:ilvl w:val="0"/>
          <w:numId w:val="16"/>
        </w:numPr>
        <w:spacing w:line="570" w:lineRule="exact"/>
        <w:ind w:firstLine="640"/>
        <w:rPr>
          <w:rFonts w:ascii="方正仿宋简体" w:eastAsia="方正仿宋简体" w:cs="Times New Roman"/>
        </w:rPr>
      </w:pPr>
      <w:r>
        <w:rPr>
          <w:rFonts w:eastAsia="方正楷体简体" w:cs="Times New Roman"/>
        </w:rPr>
        <w:t>严格落实党政领导责任。</w:t>
      </w:r>
      <w:r>
        <w:rPr>
          <w:rFonts w:hint="eastAsia" w:ascii="方正仿宋简体" w:eastAsia="方正仿宋简体" w:cs="Times New Roman"/>
        </w:rPr>
        <w:t>落实“党政同责、一岗双责”，健全区级生态环境保护委员会工作机制，明确各部门职责分工，压实党政领导责任，依法追责、终身追责，形成生态环境保护强大合力。以绿色发展为导向，认真落实上级环境保护责任考核，突出污染防治攻坚成效、生态环境质量改善考核，加强考核结果应用，将考核结果作为各级领导班子和领导干部任用和奖惩、专项资金划拨的重要依据。加强领导干部自然资源资产离任（任中）审计，切实落实领导干部责任追究制度。</w:t>
      </w:r>
    </w:p>
    <w:p>
      <w:pPr>
        <w:numPr>
          <w:ilvl w:val="0"/>
          <w:numId w:val="16"/>
        </w:numPr>
        <w:spacing w:line="570" w:lineRule="exact"/>
        <w:ind w:firstLine="640"/>
        <w:rPr>
          <w:rFonts w:eastAsia="方正仿宋简体" w:cs="Times New Roman"/>
        </w:rPr>
      </w:pPr>
      <w:r>
        <w:rPr>
          <w:rFonts w:eastAsia="方正楷体简体" w:cs="Times New Roman"/>
        </w:rPr>
        <w:t>抓实生态环保督察整改。</w:t>
      </w:r>
      <w:r>
        <w:rPr>
          <w:rFonts w:eastAsia="方正仿宋简体" w:cs="Times New Roman"/>
        </w:rPr>
        <w:t>按照省、市的工作要求，跟进落实中央和省级环境保护督察组反馈意见的整改工作，围绕反馈意见提出的各项问题，理顺各个牵头单位和负责单位分工，开展生态环境保护督察整改任务销号，落实切实可行的工作措施，按时保质完善整改工作。加大重点环境信访问题后督察力度，对国家、省交办件、可能引起群体性事件的重复信访、信访积案，严格查处违法行为，切实抓好企业污染整改，确保投诉对象违法行为改正到位，污染防治到位，集中化解一批群众反响强烈的信访问题。</w:t>
      </w:r>
    </w:p>
    <w:p>
      <w:pPr>
        <w:numPr>
          <w:ilvl w:val="0"/>
          <w:numId w:val="16"/>
        </w:numPr>
        <w:spacing w:line="570" w:lineRule="exact"/>
        <w:ind w:firstLine="640"/>
        <w:rPr>
          <w:rFonts w:eastAsia="方正仿宋简体" w:cs="Times New Roman"/>
        </w:rPr>
      </w:pPr>
      <w:r>
        <w:rPr>
          <w:rFonts w:eastAsia="方正楷体简体" w:cs="Times New Roman"/>
        </w:rPr>
        <w:t>落实企业环境治理主体责任。</w:t>
      </w:r>
      <w:r>
        <w:rPr>
          <w:rFonts w:eastAsia="方正仿宋简体" w:cs="Times New Roman"/>
        </w:rPr>
        <w:t>健全以排污许可制为核心的固定污染源环境管理制度，督促企业提高治污能力和水平，重点排污企业要安装使用监测设备并确保正常运行。排污企业应依法公开单位基本信息、排污信息、环境影响评价、清洁生产审核、自行监测、污染防治设施运行情况等相关内容，并对信息真实性负责，接受社会监督。依据环保信用评价结果实施分级分类监管，完善环保信用</w:t>
      </w:r>
      <w:r>
        <w:rPr>
          <w:rFonts w:hint="eastAsia" w:ascii="方正仿宋简体" w:eastAsia="方正仿宋简体" w:cs="Times New Roman"/>
        </w:rPr>
        <w:t>“黑名单”</w:t>
      </w:r>
      <w:r>
        <w:rPr>
          <w:rFonts w:eastAsia="方正仿宋简体" w:cs="Times New Roman"/>
        </w:rPr>
        <w:t>制度，建立违法案件曝光制度，提高造成特大环境事故的失信企业信用恢复门槛。</w:t>
      </w:r>
    </w:p>
    <w:p>
      <w:pPr>
        <w:pStyle w:val="2"/>
        <w:spacing w:line="570" w:lineRule="exact"/>
        <w:ind w:firstLine="640"/>
        <w:rPr>
          <w:rFonts w:eastAsia="方正仿宋简体"/>
          <w:sz w:val="32"/>
        </w:rPr>
      </w:pPr>
    </w:p>
    <w:p>
      <w:pPr>
        <w:pStyle w:val="4"/>
        <w:spacing w:before="0" w:beforeLines="0"/>
        <w:rPr>
          <w:rFonts w:ascii="黑体" w:hAnsi="黑体" w:eastAsia="黑体" w:cs="Times New Roman"/>
        </w:rPr>
      </w:pPr>
      <w:bookmarkStart w:id="165" w:name="_Toc19806"/>
      <w:bookmarkStart w:id="166" w:name="_Toc31286"/>
      <w:bookmarkStart w:id="167" w:name="_Toc157760728"/>
      <w:bookmarkStart w:id="168" w:name="_Toc15411"/>
      <w:bookmarkStart w:id="169" w:name="_Toc27665"/>
      <w:r>
        <w:rPr>
          <w:rFonts w:ascii="黑体" w:hAnsi="黑体" w:eastAsia="黑体" w:cs="Times New Roman"/>
        </w:rPr>
        <w:t>第二节 加强生态环境监管执法能力</w:t>
      </w:r>
      <w:bookmarkEnd w:id="165"/>
      <w:bookmarkEnd w:id="166"/>
      <w:bookmarkEnd w:id="167"/>
      <w:bookmarkEnd w:id="168"/>
      <w:bookmarkEnd w:id="169"/>
    </w:p>
    <w:p>
      <w:pPr>
        <w:spacing w:line="570" w:lineRule="exact"/>
        <w:ind w:firstLine="640"/>
        <w:rPr>
          <w:rFonts w:eastAsia="方正仿宋简体"/>
        </w:rPr>
      </w:pPr>
    </w:p>
    <w:p>
      <w:pPr>
        <w:numPr>
          <w:ilvl w:val="0"/>
          <w:numId w:val="17"/>
        </w:numPr>
        <w:spacing w:line="570" w:lineRule="exact"/>
        <w:ind w:firstLine="640"/>
        <w:rPr>
          <w:rFonts w:eastAsia="方正仿宋简体" w:cs="Times New Roman"/>
        </w:rPr>
      </w:pPr>
      <w:r>
        <w:rPr>
          <w:rFonts w:eastAsia="方正楷体简体" w:cs="Times New Roman"/>
        </w:rPr>
        <w:t>加强生态环境监管执法队伍建设。</w:t>
      </w:r>
      <w:r>
        <w:rPr>
          <w:rFonts w:eastAsia="方正仿宋简体" w:cs="Times New Roman"/>
        </w:rPr>
        <w:t>落实《关于深化生态环境保护综合行政执法改革的指导意见》和省生态环境保护综合执法改革实施方案，按照装备现代化、队伍专业化、管理制度化要求，加强生态环境保护综合执法队伍建设，推动镇街成立综合执法大队，建立并完善生态环境监管网格化制度</w:t>
      </w:r>
      <w:r>
        <w:rPr>
          <w:rFonts w:hint="eastAsia" w:eastAsia="方正仿宋简体" w:cs="Times New Roman"/>
        </w:rPr>
        <w:t>，赋予相应的生态执法权限</w:t>
      </w:r>
      <w:r>
        <w:rPr>
          <w:rFonts w:eastAsia="方正仿宋简体" w:cs="Times New Roman"/>
        </w:rPr>
        <w:t>。以执法权限、执法范围、执法程序、法律适用等为重点，定期开展基层执法队伍业务培训和指导，加大执法人员培训力度，提升环境监管执法人员业务水平。推进基层执法能力标准化建设，配备调查取证、移动执法、数据分析等装备，保障一线生态环境执法用车。</w:t>
      </w:r>
    </w:p>
    <w:p>
      <w:pPr>
        <w:numPr>
          <w:ilvl w:val="0"/>
          <w:numId w:val="17"/>
        </w:numPr>
        <w:spacing w:line="570" w:lineRule="exact"/>
        <w:ind w:firstLine="640"/>
        <w:rPr>
          <w:rFonts w:eastAsia="方正仿宋简体" w:cs="Times New Roman"/>
        </w:rPr>
      </w:pPr>
      <w:r>
        <w:rPr>
          <w:rFonts w:eastAsia="方正楷体简体" w:cs="Times New Roman"/>
        </w:rPr>
        <w:t>加强生态环境保护监管执法。</w:t>
      </w:r>
      <w:r>
        <w:rPr>
          <w:rFonts w:eastAsia="方正仿宋简体" w:cs="Times New Roman"/>
        </w:rPr>
        <w:t>按照《排污许可管理条例》规定，严格执行相关监管制度。加强对排污许可的事中事后监管，提升重点大气和污水监管单位污染源的监察力度，将</w:t>
      </w:r>
      <w:r>
        <w:rPr>
          <w:rFonts w:hint="eastAsia" w:ascii="方正仿宋简体" w:eastAsia="方正仿宋简体" w:cs="Times New Roman"/>
        </w:rPr>
        <w:t>“散乱污”</w:t>
      </w:r>
      <w:r>
        <w:rPr>
          <w:rFonts w:eastAsia="方正仿宋简体" w:cs="Times New Roman"/>
        </w:rPr>
        <w:t>企业的排污许可执法检查纳入生态环境执法年度计划，合理确定检查频次和检查方式，对全区</w:t>
      </w:r>
      <w:r>
        <w:rPr>
          <w:rFonts w:hint="eastAsia" w:ascii="方正仿宋简体" w:eastAsia="方正仿宋简体" w:cs="Times New Roman"/>
        </w:rPr>
        <w:t>“散乱污”</w:t>
      </w:r>
      <w:r>
        <w:rPr>
          <w:rFonts w:eastAsia="方正仿宋简体" w:cs="Times New Roman"/>
        </w:rPr>
        <w:t>企业进行摸底排查和全面清理整顿。着力推进环境执法联动，贯彻落实河长制相关责任，积极联合和配合各职能部门，开展重点区域和重点流域专项执法，形成大环保执法体系。在日常信访调处中积极与相关职能部门衔接，进一步深化联动调处机制，实行抄告制度，联合强制措施，对群众反响强烈的信访对象，开展</w:t>
      </w:r>
      <w:r>
        <w:rPr>
          <w:rFonts w:hint="eastAsia" w:ascii="方正仿宋简体" w:eastAsia="方正仿宋简体" w:cs="Times New Roman"/>
        </w:rPr>
        <w:t>“全方位”</w:t>
      </w:r>
      <w:r>
        <w:rPr>
          <w:rFonts w:eastAsia="方正仿宋简体" w:cs="Times New Roman"/>
        </w:rPr>
        <w:t>执法，彻底解决信访问题。</w:t>
      </w:r>
    </w:p>
    <w:p>
      <w:pPr>
        <w:numPr>
          <w:ilvl w:val="0"/>
          <w:numId w:val="17"/>
        </w:numPr>
        <w:spacing w:line="570" w:lineRule="exact"/>
        <w:ind w:firstLine="640"/>
        <w:rPr>
          <w:rFonts w:eastAsia="方正仿宋简体" w:cs="Times New Roman"/>
        </w:rPr>
      </w:pPr>
      <w:r>
        <w:rPr>
          <w:rFonts w:eastAsia="方正楷体简体" w:cs="Times New Roman"/>
        </w:rPr>
        <w:t>创新生态环境执法监管手段。</w:t>
      </w:r>
      <w:r>
        <w:rPr>
          <w:rFonts w:eastAsia="方正仿宋简体" w:cs="Times New Roman"/>
        </w:rPr>
        <w:t>强化现场执法，依托环境监管执法平台，充分运用移动执法系统和利用无人机等执法手段，实现对环境执法相关流程进行统一集成管理，随时了解执法任务完成情况，提高环保执法的准确性和有效性，提升案件处理的透明度。重点推进环境执法信息化建设，逐步实现移动执法系统与行政处罚对接、移动执法系统与镇、街道执法信息对接、移动执法系统与信访系统对接，提升执法效能。</w:t>
      </w:r>
    </w:p>
    <w:p>
      <w:pPr>
        <w:pStyle w:val="4"/>
        <w:spacing w:before="0" w:beforeLines="0"/>
        <w:rPr>
          <w:rFonts w:ascii="黑体" w:hAnsi="黑体" w:eastAsia="黑体" w:cs="Times New Roman"/>
        </w:rPr>
      </w:pPr>
      <w:bookmarkStart w:id="170" w:name="_Toc21971"/>
      <w:bookmarkStart w:id="171" w:name="_Toc24074"/>
      <w:bookmarkStart w:id="172" w:name="_Toc15801"/>
      <w:bookmarkStart w:id="173" w:name="_Toc157760729"/>
      <w:bookmarkStart w:id="174" w:name="_Toc6785"/>
      <w:r>
        <w:rPr>
          <w:rFonts w:ascii="黑体" w:hAnsi="黑体" w:eastAsia="黑体" w:cs="Times New Roman"/>
        </w:rPr>
        <w:t>第三节 强化生态环境监测预警能力</w:t>
      </w:r>
      <w:bookmarkEnd w:id="170"/>
      <w:bookmarkEnd w:id="171"/>
      <w:bookmarkEnd w:id="172"/>
      <w:bookmarkEnd w:id="173"/>
      <w:bookmarkEnd w:id="174"/>
    </w:p>
    <w:p>
      <w:pPr>
        <w:spacing w:line="570" w:lineRule="exact"/>
        <w:ind w:firstLine="640"/>
        <w:rPr>
          <w:rFonts w:eastAsia="方正仿宋简体"/>
        </w:rPr>
      </w:pPr>
    </w:p>
    <w:p>
      <w:pPr>
        <w:numPr>
          <w:ilvl w:val="0"/>
          <w:numId w:val="18"/>
        </w:numPr>
        <w:spacing w:line="570" w:lineRule="exact"/>
        <w:ind w:firstLine="640"/>
        <w:rPr>
          <w:rFonts w:eastAsia="方正仿宋简体" w:cs="Times New Roman"/>
        </w:rPr>
      </w:pPr>
      <w:r>
        <w:rPr>
          <w:rFonts w:eastAsia="方正楷体简体" w:cs="Times New Roman"/>
        </w:rPr>
        <w:t>完善生态环境监测预警网络。</w:t>
      </w:r>
      <w:r>
        <w:rPr>
          <w:rFonts w:eastAsia="方正仿宋简体" w:cs="Times New Roman"/>
        </w:rPr>
        <w:t>完善空气质量预测预报系统，加强颗粒物组分、挥发性有机物走航等监测。持续做好地表水环境质量、河长制、农村生活污水处理设施、入海河口、近岸海域、入海排口、产业园区等水环境监测断面（监测点位）的监测工作，加强对漠阳江干支流水体和大中型水库、水源地、源头区、水源涵养区等水质预警预报。实施土壤环境动态监控，逐步提高土壤污染监测水平及监测覆盖率，构建土壤环境监测网络，重点加强重金属污染重点防控区、重要生态保护区、水源保护区等区域内的土壤环境监管能力。</w:t>
      </w:r>
    </w:p>
    <w:p>
      <w:pPr>
        <w:numPr>
          <w:ilvl w:val="0"/>
          <w:numId w:val="18"/>
        </w:numPr>
        <w:spacing w:line="570" w:lineRule="exact"/>
        <w:ind w:firstLine="640"/>
        <w:rPr>
          <w:rFonts w:eastAsia="方正仿宋简体" w:cs="Times New Roman"/>
        </w:rPr>
      </w:pPr>
      <w:r>
        <w:rPr>
          <w:rFonts w:eastAsia="方正楷体简体" w:cs="Times New Roman"/>
        </w:rPr>
        <w:t>提升区级生态环境监测能力。</w:t>
      </w:r>
      <w:r>
        <w:rPr>
          <w:rFonts w:eastAsia="方正仿宋简体" w:cs="Times New Roman"/>
        </w:rPr>
        <w:t>进一步加强区级生态环境监测人员和设备配置，</w:t>
      </w:r>
      <w:r>
        <w:rPr>
          <w:rFonts w:hint="eastAsia" w:eastAsia="方正仿宋简体" w:cs="Times New Roman"/>
        </w:rPr>
        <w:t>争取</w:t>
      </w:r>
      <w:r>
        <w:rPr>
          <w:rFonts w:eastAsia="方正仿宋简体" w:cs="Times New Roman"/>
        </w:rPr>
        <w:t>到2025年区监测机构具备开展行政区域内执法监测和应急监测的能力。不断完善生态环境监测技术体系，实行</w:t>
      </w:r>
      <w:r>
        <w:rPr>
          <w:rFonts w:hint="eastAsia" w:ascii="方正仿宋简体" w:eastAsia="方正仿宋简体" w:cs="Times New Roman"/>
        </w:rPr>
        <w:t>“谁考核、谁监测”</w:t>
      </w:r>
      <w:r>
        <w:rPr>
          <w:rFonts w:eastAsia="方正仿宋简体" w:cs="Times New Roman"/>
        </w:rPr>
        <w:t>，提高监测自动化、标准化、信息化水平，形成生态环境数据一本台账、一张网络、一个窗口，推动实现环境质量预报预警。落实监测数据质量控制与管理制度，严格按照法律法规要求和技术规范开展监测，对监测数据的真实性和准确性负责，确保监测数据</w:t>
      </w:r>
      <w:r>
        <w:rPr>
          <w:rFonts w:hint="eastAsia" w:ascii="方正仿宋简体" w:eastAsia="方正仿宋简体" w:cs="Times New Roman"/>
        </w:rPr>
        <w:t>“真、准、全”</w:t>
      </w:r>
      <w:r>
        <w:rPr>
          <w:rFonts w:eastAsia="方正仿宋简体" w:cs="Times New Roman"/>
        </w:rPr>
        <w:t>，为环境监管提供技术支撑。</w:t>
      </w:r>
    </w:p>
    <w:p>
      <w:pPr>
        <w:pStyle w:val="2"/>
        <w:spacing w:line="570" w:lineRule="exact"/>
        <w:ind w:firstLine="640"/>
        <w:rPr>
          <w:rFonts w:eastAsia="方正仿宋简体"/>
          <w:sz w:val="32"/>
        </w:rPr>
      </w:pPr>
    </w:p>
    <w:p>
      <w:pPr>
        <w:pStyle w:val="4"/>
        <w:spacing w:before="0" w:beforeLines="0"/>
        <w:rPr>
          <w:rFonts w:ascii="黑体" w:hAnsi="黑体" w:eastAsia="黑体" w:cs="Times New Roman"/>
        </w:rPr>
      </w:pPr>
      <w:bookmarkStart w:id="175" w:name="_Toc14362"/>
      <w:bookmarkStart w:id="176" w:name="_Toc22117"/>
      <w:bookmarkStart w:id="177" w:name="_Toc16845"/>
      <w:bookmarkStart w:id="178" w:name="_Toc157760730"/>
      <w:bookmarkStart w:id="179" w:name="_Toc28180"/>
      <w:r>
        <w:rPr>
          <w:rFonts w:ascii="黑体" w:hAnsi="黑体" w:eastAsia="黑体" w:cs="Times New Roman"/>
        </w:rPr>
        <w:t>第四节 完善生态环境应急管理能力</w:t>
      </w:r>
      <w:bookmarkEnd w:id="175"/>
      <w:bookmarkEnd w:id="176"/>
      <w:bookmarkEnd w:id="177"/>
      <w:bookmarkEnd w:id="178"/>
      <w:bookmarkEnd w:id="179"/>
    </w:p>
    <w:p>
      <w:pPr>
        <w:spacing w:line="540" w:lineRule="exact"/>
        <w:ind w:firstLine="640"/>
        <w:rPr>
          <w:rFonts w:eastAsia="方正仿宋简体"/>
        </w:rPr>
      </w:pPr>
    </w:p>
    <w:p>
      <w:pPr>
        <w:numPr>
          <w:ilvl w:val="0"/>
          <w:numId w:val="19"/>
        </w:numPr>
        <w:spacing w:line="540" w:lineRule="exact"/>
        <w:ind w:firstLine="640"/>
        <w:rPr>
          <w:rFonts w:eastAsia="方正仿宋简体" w:cs="Times New Roman"/>
        </w:rPr>
      </w:pPr>
      <w:r>
        <w:rPr>
          <w:rFonts w:eastAsia="方正楷体简体" w:cs="Times New Roman"/>
        </w:rPr>
        <w:t>完善环境应急管理机制。</w:t>
      </w:r>
      <w:r>
        <w:rPr>
          <w:rFonts w:eastAsia="方正仿宋简体" w:cs="Times New Roman"/>
        </w:rPr>
        <w:t>建立健全覆盖全区的环境风险应急预案体系，完善政府部门、产业园区、企事业单位、饮用水水源地、环境敏感区环境突发事件应急预案，全面提升应急管理工作规范化、制度化水平。不断完善</w:t>
      </w:r>
      <w:r>
        <w:rPr>
          <w:rFonts w:hint="eastAsia" w:ascii="方正仿宋简体" w:eastAsia="方正仿宋简体" w:cs="Times New Roman"/>
        </w:rPr>
        <w:t>“分级负责、属地为主”</w:t>
      </w:r>
      <w:r>
        <w:rPr>
          <w:rFonts w:eastAsia="方正仿宋简体" w:cs="Times New Roman"/>
        </w:rPr>
        <w:t>的应急管理方式，强化一线生产单位应急预案和现场处置能力。完善跨区县环境应急联动机制，建立联合执法和定期会商机制，畅通突发事件联络渠道，强化区域间的突发事件信息共享机制，妥善处置跨界环境污染纠纷和突发环境事件。</w:t>
      </w:r>
    </w:p>
    <w:p>
      <w:pPr>
        <w:numPr>
          <w:ilvl w:val="0"/>
          <w:numId w:val="19"/>
        </w:numPr>
        <w:spacing w:line="540" w:lineRule="exact"/>
        <w:ind w:firstLine="640"/>
        <w:rPr>
          <w:rFonts w:eastAsia="方正仿宋简体" w:cs="Times New Roman"/>
        </w:rPr>
      </w:pPr>
      <w:r>
        <w:rPr>
          <w:rFonts w:eastAsia="方正楷体简体" w:cs="Times New Roman"/>
        </w:rPr>
        <w:t>健全环境应急能力建设。</w:t>
      </w:r>
      <w:r>
        <w:rPr>
          <w:rFonts w:eastAsia="方正仿宋简体" w:cs="Times New Roman"/>
        </w:rPr>
        <w:t>强化队伍业务能力建设，加强各级应急管理队伍、应急救援队伍、应急专家库建设，有效吸纳党员干部、企业职工、社工志愿者、村（社）工作人员、民兵、警务医务工作者等成为应急管理队伍骨干。严格规范应急响应流程，加强应急预案演练和公众宣传培训。深入开展环境应急协作演练，倡导“双盲”等新形式，区生态环境部门每年至少组织一次综合突发环境事件应急演练。</w:t>
      </w:r>
    </w:p>
    <w:p>
      <w:pPr>
        <w:pStyle w:val="2"/>
        <w:spacing w:line="540" w:lineRule="exact"/>
        <w:ind w:firstLine="640"/>
        <w:rPr>
          <w:rFonts w:eastAsia="方正仿宋简体"/>
          <w:sz w:val="32"/>
        </w:rPr>
      </w:pPr>
    </w:p>
    <w:p>
      <w:pPr>
        <w:pStyle w:val="4"/>
        <w:spacing w:before="0" w:beforeLines="0" w:line="540" w:lineRule="exact"/>
        <w:rPr>
          <w:rFonts w:ascii="黑体" w:hAnsi="黑体" w:eastAsia="黑体" w:cs="Times New Roman"/>
        </w:rPr>
      </w:pPr>
      <w:bookmarkStart w:id="180" w:name="_Toc16871"/>
      <w:bookmarkStart w:id="181" w:name="_Toc157760731"/>
      <w:bookmarkStart w:id="182" w:name="_Toc32284"/>
      <w:bookmarkStart w:id="183" w:name="_Toc31306"/>
      <w:bookmarkStart w:id="184" w:name="_Toc3588"/>
      <w:bookmarkStart w:id="185" w:name="_Toc8572"/>
      <w:bookmarkStart w:id="186" w:name="_Toc27564"/>
      <w:r>
        <w:rPr>
          <w:rFonts w:ascii="黑体" w:hAnsi="黑体" w:eastAsia="黑体" w:cs="Times New Roman"/>
        </w:rPr>
        <w:t>第五节 建设生态环境市场化机制</w:t>
      </w:r>
      <w:bookmarkEnd w:id="180"/>
      <w:bookmarkEnd w:id="181"/>
      <w:bookmarkEnd w:id="182"/>
      <w:bookmarkEnd w:id="183"/>
      <w:bookmarkEnd w:id="184"/>
    </w:p>
    <w:p>
      <w:pPr>
        <w:spacing w:line="540" w:lineRule="exact"/>
        <w:ind w:firstLine="640"/>
        <w:rPr>
          <w:rFonts w:eastAsia="方正仿宋简体"/>
        </w:rPr>
      </w:pPr>
    </w:p>
    <w:p>
      <w:pPr>
        <w:numPr>
          <w:ilvl w:val="0"/>
          <w:numId w:val="20"/>
        </w:numPr>
        <w:spacing w:line="540" w:lineRule="exact"/>
        <w:ind w:firstLine="640"/>
        <w:rPr>
          <w:rFonts w:cs="Times New Roman"/>
        </w:rPr>
      </w:pPr>
      <w:r>
        <w:rPr>
          <w:rFonts w:eastAsia="方正楷体简体" w:cs="Times New Roman"/>
        </w:rPr>
        <w:t>深入推进生态环境领域</w:t>
      </w:r>
      <w:r>
        <w:rPr>
          <w:rFonts w:hint="eastAsia" w:ascii="方正楷体简体" w:eastAsia="方正楷体简体" w:cs="Times New Roman"/>
        </w:rPr>
        <w:t>“放管服”</w:t>
      </w:r>
      <w:r>
        <w:rPr>
          <w:rFonts w:eastAsia="方正楷体简体" w:cs="Times New Roman"/>
        </w:rPr>
        <w:t>改革。</w:t>
      </w:r>
      <w:r>
        <w:rPr>
          <w:rFonts w:eastAsia="方正仿宋简体" w:cs="Times New Roman"/>
        </w:rPr>
        <w:t>深化环境影响评价制度改革，强化</w:t>
      </w:r>
      <w:r>
        <w:rPr>
          <w:rFonts w:hint="eastAsia" w:ascii="方正仿宋简体" w:eastAsia="方正仿宋简体" w:cs="Times New Roman"/>
        </w:rPr>
        <w:t>“三线一单”</w:t>
      </w:r>
      <w:r>
        <w:rPr>
          <w:rFonts w:eastAsia="方正仿宋简体" w:cs="Times New Roman"/>
        </w:rPr>
        <w:t>生态环境空间管控应用，加强区域规划环评宏观指导，优化建设项目环评分级分类管理，持续优化环评审批，提升管理服务效能。积极推行环境污染第三方治理，开展园区污染防治第三方治理示范，引入环境污染问题诊断、系统解决方案、污水和固废集中处理处置、烟气治理、污染物排放监测以及监管信息平台等环境综合治理服务，探索统一规划、统一监测、统一治理的一体化服务模式。依法依规公布治理效果不达标、技术服务能力弱、运营管理水平低、综合信用差的第三方治理企业名单，并将违法违规信息纳入信用信息共享平台。</w:t>
      </w:r>
    </w:p>
    <w:p>
      <w:pPr>
        <w:numPr>
          <w:ilvl w:val="0"/>
          <w:numId w:val="20"/>
        </w:numPr>
        <w:spacing w:line="540" w:lineRule="exact"/>
        <w:ind w:firstLine="640"/>
        <w:rPr>
          <w:rFonts w:eastAsia="方正仿宋简体" w:cs="Times New Roman"/>
        </w:rPr>
      </w:pPr>
      <w:r>
        <w:rPr>
          <w:rFonts w:eastAsia="方正楷体简体" w:cs="Times New Roman"/>
        </w:rPr>
        <w:t>健全多元化投入机制。</w:t>
      </w:r>
      <w:r>
        <w:rPr>
          <w:rFonts w:eastAsia="方正仿宋简体" w:cs="Times New Roman"/>
        </w:rPr>
        <w:t>通过申报大气专项、水专项、土专项、农村专项等重大工程，积极争取中央资金和省、市级财政资金支持。充分发挥政府投资的引导带动作用，支持社会资本参与生态环境保护建设，推广公私合作（PPP）模式</w:t>
      </w:r>
      <w:r>
        <w:rPr>
          <w:rStyle w:val="25"/>
          <w:rFonts w:eastAsia="方正仿宋简体" w:cs="Times New Roman"/>
        </w:rPr>
        <w:footnoteReference w:id="8"/>
      </w:r>
      <w:r>
        <w:rPr>
          <w:rFonts w:eastAsia="方正仿宋简体" w:cs="Times New Roman"/>
        </w:rPr>
        <w:t>，探索开展生态环境导向的城市开发（EOD）模式</w:t>
      </w:r>
      <w:r>
        <w:rPr>
          <w:rStyle w:val="25"/>
          <w:rFonts w:eastAsia="方正仿宋简体" w:cs="Times New Roman"/>
        </w:rPr>
        <w:footnoteReference w:id="9"/>
      </w:r>
      <w:r>
        <w:rPr>
          <w:rFonts w:eastAsia="方正仿宋简体" w:cs="Times New Roman"/>
        </w:rPr>
        <w:t>等多种政府与社会资本合作模式，加强与保险资金、社保资金、政策性及开发性金融机构等长期资金的合作。</w:t>
      </w:r>
    </w:p>
    <w:p>
      <w:pPr>
        <w:pStyle w:val="2"/>
        <w:spacing w:line="540" w:lineRule="exact"/>
        <w:ind w:firstLine="480"/>
      </w:pPr>
    </w:p>
    <w:p>
      <w:pPr>
        <w:pStyle w:val="4"/>
        <w:spacing w:before="0" w:beforeLines="0" w:line="540" w:lineRule="exact"/>
        <w:rPr>
          <w:rFonts w:ascii="黑体" w:hAnsi="黑体" w:eastAsia="黑体" w:cs="Times New Roman"/>
        </w:rPr>
      </w:pPr>
      <w:bookmarkStart w:id="187" w:name="_Toc157760732"/>
      <w:bookmarkStart w:id="188" w:name="_Toc24986"/>
      <w:bookmarkStart w:id="189" w:name="_Toc8325"/>
      <w:r>
        <w:rPr>
          <w:rFonts w:ascii="黑体" w:hAnsi="黑体" w:eastAsia="黑体" w:cs="Times New Roman"/>
        </w:rPr>
        <w:t>第六节 开展全民低碳行动</w:t>
      </w:r>
      <w:bookmarkEnd w:id="185"/>
      <w:bookmarkEnd w:id="186"/>
      <w:bookmarkEnd w:id="187"/>
      <w:bookmarkEnd w:id="188"/>
      <w:bookmarkEnd w:id="189"/>
    </w:p>
    <w:p>
      <w:pPr>
        <w:spacing w:line="540" w:lineRule="exact"/>
        <w:ind w:firstLine="640"/>
        <w:rPr>
          <w:rFonts w:eastAsia="方正仿宋简体"/>
        </w:rPr>
      </w:pPr>
    </w:p>
    <w:p>
      <w:pPr>
        <w:numPr>
          <w:ilvl w:val="0"/>
          <w:numId w:val="21"/>
        </w:numPr>
        <w:spacing w:line="540" w:lineRule="exact"/>
        <w:ind w:firstLine="640"/>
        <w:rPr>
          <w:rFonts w:eastAsia="方正仿宋简体" w:cs="Times New Roman"/>
        </w:rPr>
      </w:pPr>
      <w:r>
        <w:rPr>
          <w:rFonts w:eastAsia="方正楷体简体" w:cs="Times New Roman"/>
        </w:rPr>
        <w:t>强化生态环境保护信息公开。</w:t>
      </w:r>
      <w:r>
        <w:rPr>
          <w:rFonts w:eastAsia="方正仿宋简体" w:cs="Times New Roman"/>
        </w:rPr>
        <w:t>加强基层生态环境治理能力建设，建立完善的公众监督和举报反馈机制，全面推进大气、水、土壤等生态环境信息公开及排污企业自行监测和信息公开，畅通和规范群众环境信息知情权、诉求表达、权利保障通道。鼓励新闻媒体对各类破坏生态环境问题、突发环境事件、环境违法行为进行曝光。加强企业环境信息公开，鼓励排污企业在确保安全生产前提下，通过设立企业开放日、建设教育体验场所等形式，向社会公众开放。</w:t>
      </w:r>
    </w:p>
    <w:p>
      <w:pPr>
        <w:numPr>
          <w:ilvl w:val="0"/>
          <w:numId w:val="21"/>
        </w:numPr>
        <w:spacing w:line="540" w:lineRule="exact"/>
        <w:ind w:firstLine="640"/>
        <w:rPr>
          <w:rFonts w:cs="Times New Roman"/>
        </w:rPr>
      </w:pPr>
      <w:r>
        <w:rPr>
          <w:rFonts w:eastAsia="方正楷体简体" w:cs="Times New Roman"/>
        </w:rPr>
        <w:t>加强生态环境保护宣传教育。</w:t>
      </w:r>
      <w:r>
        <w:rPr>
          <w:rFonts w:eastAsia="方正仿宋简体" w:cs="Times New Roman"/>
        </w:rPr>
        <w:t>把生态环境保护纳入党政领导干部培训体系，推进环境保护宣传教育进学校、进家庭、进社区、进工厂、进机关，推进全社会生态文明观和绿色价值观的形成。充分发挥新闻媒体的宣传引导和舆论监督作用，做好污染防治攻坚战、生态环保督察、党风廉政建设宣传报道，做大做强环保主题宣传、环保成就宣传和环保典型宣传。加强垃圾分类宣传及约束激励力度。</w:t>
      </w:r>
    </w:p>
    <w:p>
      <w:pPr>
        <w:numPr>
          <w:ilvl w:val="0"/>
          <w:numId w:val="21"/>
        </w:numPr>
        <w:spacing w:line="540" w:lineRule="exact"/>
        <w:ind w:firstLine="640"/>
        <w:rPr>
          <w:rFonts w:eastAsia="方正仿宋简体" w:cs="Times New Roman"/>
        </w:rPr>
      </w:pPr>
      <w:r>
        <w:rPr>
          <w:rFonts w:eastAsia="方正楷体简体" w:cs="Times New Roman"/>
        </w:rPr>
        <w:t>推动全民践行绿色生活理念。</w:t>
      </w:r>
      <w:r>
        <w:rPr>
          <w:rFonts w:eastAsia="方正仿宋简体" w:cs="Times New Roman"/>
        </w:rPr>
        <w:t>鼓励公众践行绿色出行、垃圾分类、节水节电等生活方式，大力推进使用新能源公交车，减少一次性用品和包装材料的使用。引导绿色饮食，禁止滥食野生动物，制止餐饮浪费和饮食陋习，开展</w:t>
      </w:r>
      <w:r>
        <w:rPr>
          <w:rFonts w:hint="eastAsia" w:ascii="方正仿宋简体" w:eastAsia="方正仿宋简体" w:cs="Times New Roman"/>
        </w:rPr>
        <w:t>“光盘行动”</w:t>
      </w:r>
      <w:r>
        <w:rPr>
          <w:rFonts w:eastAsia="方正仿宋简体" w:cs="Times New Roman"/>
        </w:rPr>
        <w:t>。推动公共机构带头开展绿色采购，将绿色低碳产品列入政府采购目录，积极开展节约型机关、绿色企业、绿色社区、绿色学校、绿色商场等</w:t>
      </w:r>
      <w:r>
        <w:rPr>
          <w:rFonts w:hint="eastAsia" w:ascii="方正仿宋简体" w:eastAsia="方正仿宋简体" w:cs="Times New Roman"/>
        </w:rPr>
        <w:t>“细胞工程”</w:t>
      </w:r>
      <w:r>
        <w:rPr>
          <w:rFonts w:eastAsia="方正仿宋简体" w:cs="Times New Roman"/>
        </w:rPr>
        <w:t>建设，逐步引导全社会形成绿色低碳、文明健康的生活方式和消费模式。</w:t>
      </w:r>
    </w:p>
    <w:p>
      <w:pPr>
        <w:pStyle w:val="7"/>
        <w:ind w:firstLine="640"/>
        <w:rPr>
          <w:rFonts w:ascii="Times New Roman" w:cs="Times New Roman"/>
        </w:rPr>
        <w:sectPr>
          <w:pgSz w:w="11906" w:h="16838"/>
          <w:pgMar w:top="2098" w:right="1474" w:bottom="1984" w:left="1587" w:header="567" w:footer="1531" w:gutter="0"/>
          <w:cols w:space="425" w:num="1"/>
          <w:docGrid w:type="lines" w:linePitch="435" w:charSpace="0"/>
        </w:sectPr>
      </w:pPr>
    </w:p>
    <w:p>
      <w:pPr>
        <w:pStyle w:val="3"/>
        <w:numPr>
          <w:ilvl w:val="0"/>
          <w:numId w:val="1"/>
        </w:numPr>
        <w:spacing w:line="600" w:lineRule="exact"/>
        <w:rPr>
          <w:rFonts w:ascii="方正小标宋简体" w:eastAsia="方正小标宋简体" w:cs="Times New Roman"/>
        </w:rPr>
      </w:pPr>
      <w:bookmarkStart w:id="190" w:name="_Toc15531"/>
      <w:bookmarkStart w:id="191" w:name="_Toc10045"/>
      <w:bookmarkStart w:id="192" w:name="_Toc10899"/>
      <w:bookmarkStart w:id="193" w:name="_Toc157760733"/>
      <w:bookmarkStart w:id="194" w:name="_Toc32406"/>
      <w:r>
        <w:rPr>
          <w:rFonts w:hint="eastAsia" w:ascii="方正小标宋简体" w:eastAsia="方正小标宋简体" w:cs="Times New Roman"/>
        </w:rPr>
        <w:t>保障措施</w:t>
      </w:r>
      <w:bookmarkEnd w:id="190"/>
      <w:bookmarkEnd w:id="191"/>
      <w:bookmarkEnd w:id="192"/>
      <w:bookmarkEnd w:id="193"/>
      <w:bookmarkEnd w:id="194"/>
    </w:p>
    <w:p>
      <w:pPr>
        <w:spacing w:line="600" w:lineRule="exact"/>
        <w:ind w:firstLine="640"/>
        <w:rPr>
          <w:rFonts w:eastAsia="方正仿宋简体"/>
        </w:rPr>
      </w:pPr>
    </w:p>
    <w:p>
      <w:pPr>
        <w:spacing w:line="600" w:lineRule="exact"/>
        <w:ind w:firstLine="640"/>
        <w:rPr>
          <w:rFonts w:eastAsia="方正仿宋简体" w:cs="Times New Roman"/>
        </w:rPr>
      </w:pPr>
      <w:r>
        <w:rPr>
          <w:rFonts w:eastAsia="方正仿宋简体" w:cs="Times New Roman"/>
        </w:rPr>
        <w:t>强化责任落实，完善资金保障，以计划落实机制和考核评价机制为保障，以重大项目为支撑，有效推动规划落地实施。</w:t>
      </w:r>
    </w:p>
    <w:p>
      <w:pPr>
        <w:pStyle w:val="2"/>
        <w:spacing w:line="600" w:lineRule="exact"/>
        <w:ind w:firstLine="640"/>
        <w:rPr>
          <w:rFonts w:eastAsia="方正仿宋简体"/>
          <w:sz w:val="32"/>
        </w:rPr>
      </w:pPr>
    </w:p>
    <w:p>
      <w:pPr>
        <w:pStyle w:val="4"/>
        <w:spacing w:before="0" w:beforeLines="0" w:line="600" w:lineRule="exact"/>
        <w:rPr>
          <w:rFonts w:ascii="黑体" w:hAnsi="黑体" w:eastAsia="黑体" w:cs="Times New Roman"/>
        </w:rPr>
      </w:pPr>
      <w:bookmarkStart w:id="195" w:name="_Toc16037"/>
      <w:bookmarkStart w:id="196" w:name="_Toc15284"/>
      <w:bookmarkStart w:id="197" w:name="_Toc5137"/>
      <w:bookmarkStart w:id="198" w:name="_Toc19359"/>
      <w:bookmarkStart w:id="199" w:name="_Toc157760734"/>
      <w:r>
        <w:rPr>
          <w:rFonts w:ascii="黑体" w:hAnsi="黑体" w:eastAsia="黑体" w:cs="Times New Roman"/>
        </w:rPr>
        <w:t>第一节 强化组织落实</w:t>
      </w:r>
      <w:bookmarkEnd w:id="195"/>
      <w:bookmarkEnd w:id="196"/>
      <w:bookmarkEnd w:id="197"/>
      <w:bookmarkEnd w:id="198"/>
      <w:bookmarkEnd w:id="199"/>
    </w:p>
    <w:p>
      <w:pPr>
        <w:spacing w:line="600" w:lineRule="exact"/>
        <w:ind w:firstLine="640"/>
      </w:pPr>
    </w:p>
    <w:p>
      <w:pPr>
        <w:spacing w:line="600" w:lineRule="exact"/>
        <w:ind w:firstLine="640"/>
        <w:rPr>
          <w:rFonts w:eastAsia="方正仿宋简体" w:cs="Times New Roman"/>
        </w:rPr>
      </w:pPr>
      <w:r>
        <w:rPr>
          <w:rFonts w:eastAsia="方正仿宋简体" w:cs="Times New Roman"/>
        </w:rPr>
        <w:t>建立完善区级部门推进本规划的分工协作机制，确保规划顺利实施。明确责任、落实计划，各镇（街）和区有关部门要切实履行职责，依据本规划以及省和省市的相关规划，科学制定年度实施计划，将规划任务目标分解落实到年度计划中，落实到具体的负责部门和责任人，协同推进规划的实施。</w:t>
      </w:r>
    </w:p>
    <w:p>
      <w:pPr>
        <w:pStyle w:val="2"/>
        <w:spacing w:line="600" w:lineRule="exact"/>
        <w:ind w:firstLine="640"/>
        <w:rPr>
          <w:rFonts w:eastAsia="方正仿宋简体"/>
          <w:sz w:val="32"/>
        </w:rPr>
      </w:pPr>
    </w:p>
    <w:p>
      <w:pPr>
        <w:pStyle w:val="4"/>
        <w:spacing w:before="0" w:beforeLines="0" w:line="600" w:lineRule="exact"/>
        <w:rPr>
          <w:rFonts w:ascii="黑体" w:hAnsi="黑体" w:eastAsia="黑体" w:cs="Times New Roman"/>
        </w:rPr>
      </w:pPr>
      <w:bookmarkStart w:id="200" w:name="_Toc6135"/>
      <w:bookmarkStart w:id="201" w:name="_Toc17168"/>
      <w:bookmarkStart w:id="202" w:name="_Toc4012"/>
      <w:bookmarkStart w:id="203" w:name="_Toc18153"/>
      <w:bookmarkStart w:id="204" w:name="_Toc157760735"/>
      <w:r>
        <w:rPr>
          <w:rFonts w:ascii="黑体" w:hAnsi="黑体" w:eastAsia="黑体" w:cs="Times New Roman"/>
        </w:rPr>
        <w:t>第二节 强化工程支撑</w:t>
      </w:r>
      <w:bookmarkEnd w:id="200"/>
      <w:bookmarkEnd w:id="201"/>
      <w:bookmarkEnd w:id="202"/>
      <w:bookmarkEnd w:id="203"/>
      <w:bookmarkEnd w:id="204"/>
    </w:p>
    <w:p>
      <w:pPr>
        <w:spacing w:line="600" w:lineRule="exact"/>
        <w:ind w:firstLine="640"/>
        <w:rPr>
          <w:rFonts w:eastAsia="方正仿宋简体"/>
        </w:rPr>
      </w:pPr>
    </w:p>
    <w:p>
      <w:pPr>
        <w:spacing w:line="600" w:lineRule="exact"/>
        <w:ind w:firstLine="640"/>
        <w:rPr>
          <w:rFonts w:eastAsia="方正仿宋简体" w:cs="Times New Roman"/>
        </w:rPr>
      </w:pPr>
      <w:r>
        <w:rPr>
          <w:rFonts w:eastAsia="方正仿宋简体" w:cs="Times New Roman"/>
        </w:rPr>
        <w:t>以争当阳江宜居宜业宜游现代化滨海城市的先行区为目标，规划实施环境综合治理、生态系统保护修复、环保基础设施建设、生态环境基础能力建设四大类工程，强化项目实施进度和绩效管理，保障生态环境保护任务切实落地。</w:t>
      </w:r>
    </w:p>
    <w:p>
      <w:pPr>
        <w:pStyle w:val="2"/>
        <w:spacing w:line="600" w:lineRule="exact"/>
        <w:ind w:firstLine="640"/>
        <w:rPr>
          <w:rFonts w:eastAsia="方正仿宋简体"/>
          <w:sz w:val="32"/>
        </w:rPr>
      </w:pPr>
    </w:p>
    <w:p>
      <w:pPr>
        <w:pStyle w:val="4"/>
        <w:spacing w:before="0" w:beforeLines="0"/>
        <w:rPr>
          <w:rFonts w:ascii="黑体" w:hAnsi="黑体" w:eastAsia="黑体" w:cs="Times New Roman"/>
        </w:rPr>
      </w:pPr>
      <w:bookmarkStart w:id="205" w:name="_Toc31094"/>
      <w:bookmarkStart w:id="206" w:name="_Toc3875"/>
      <w:bookmarkStart w:id="207" w:name="_Toc157760736"/>
      <w:bookmarkStart w:id="208" w:name="_Toc10439"/>
      <w:bookmarkStart w:id="209" w:name="_Toc2446"/>
      <w:r>
        <w:rPr>
          <w:rFonts w:ascii="黑体" w:hAnsi="黑体" w:eastAsia="黑体" w:cs="Times New Roman"/>
        </w:rPr>
        <w:t>第三节 强化资金保障</w:t>
      </w:r>
      <w:bookmarkEnd w:id="205"/>
      <w:bookmarkEnd w:id="206"/>
      <w:bookmarkEnd w:id="207"/>
      <w:bookmarkEnd w:id="208"/>
      <w:bookmarkEnd w:id="209"/>
    </w:p>
    <w:p>
      <w:pPr>
        <w:spacing w:line="570" w:lineRule="exact"/>
        <w:ind w:firstLine="640"/>
        <w:rPr>
          <w:rFonts w:eastAsia="方正仿宋简体"/>
        </w:rPr>
      </w:pPr>
    </w:p>
    <w:p>
      <w:pPr>
        <w:spacing w:line="570" w:lineRule="exact"/>
        <w:ind w:firstLine="640"/>
        <w:rPr>
          <w:rFonts w:eastAsia="方正仿宋简体" w:cs="Times New Roman"/>
        </w:rPr>
      </w:pPr>
      <w:r>
        <w:rPr>
          <w:rFonts w:eastAsia="方正仿宋简体" w:cs="Times New Roman"/>
        </w:rPr>
        <w:t>加强财政资金保障，加大对环境污染治理、生态系统保护、监测预警、监管执法、风险防控、应急管理等重点工作的投入力度，确保本规划各项重点工程顺利推进。完善多元化的环保投入机制，积极引导社会资本，积极创新各类环保投融资方式。</w:t>
      </w:r>
    </w:p>
    <w:p>
      <w:pPr>
        <w:pStyle w:val="2"/>
        <w:spacing w:line="570" w:lineRule="exact"/>
        <w:ind w:firstLine="640"/>
        <w:rPr>
          <w:rFonts w:eastAsia="方正仿宋简体"/>
          <w:sz w:val="32"/>
        </w:rPr>
      </w:pPr>
    </w:p>
    <w:p>
      <w:pPr>
        <w:pStyle w:val="4"/>
        <w:spacing w:before="0" w:beforeLines="0"/>
        <w:rPr>
          <w:rFonts w:ascii="黑体" w:hAnsi="黑体" w:eastAsia="黑体" w:cs="Times New Roman"/>
        </w:rPr>
      </w:pPr>
      <w:bookmarkStart w:id="210" w:name="_Toc24531"/>
      <w:bookmarkStart w:id="211" w:name="_Toc16438"/>
      <w:bookmarkStart w:id="212" w:name="_Toc157760737"/>
      <w:bookmarkStart w:id="213" w:name="_Toc18453"/>
      <w:bookmarkStart w:id="214" w:name="_Toc9280"/>
      <w:r>
        <w:rPr>
          <w:rFonts w:ascii="黑体" w:hAnsi="黑体" w:eastAsia="黑体" w:cs="Times New Roman"/>
        </w:rPr>
        <w:t>第四节 强化评估考核</w:t>
      </w:r>
      <w:bookmarkEnd w:id="210"/>
      <w:bookmarkEnd w:id="211"/>
      <w:bookmarkEnd w:id="212"/>
      <w:bookmarkEnd w:id="213"/>
      <w:bookmarkEnd w:id="214"/>
    </w:p>
    <w:p>
      <w:pPr>
        <w:spacing w:line="570" w:lineRule="exact"/>
        <w:ind w:firstLine="640"/>
        <w:rPr>
          <w:rFonts w:eastAsia="方正仿宋简体"/>
        </w:rPr>
      </w:pPr>
    </w:p>
    <w:p>
      <w:pPr>
        <w:spacing w:line="570" w:lineRule="exact"/>
        <w:ind w:firstLine="640"/>
        <w:rPr>
          <w:rFonts w:eastAsia="方正仿宋简体" w:cs="Times New Roman"/>
        </w:rPr>
      </w:pPr>
      <w:r>
        <w:rPr>
          <w:rFonts w:eastAsia="方正仿宋简体" w:cs="Times New Roman"/>
        </w:rPr>
        <w:t>加强规划实施评估考核，将规划目标和主要任务纳入镇级环境保护责任考核。健全规划编制－实施－调度－评估全链条管理体系，强化规划实施情况跟踪分析，根据市级要求，组织开展规划实施中期评估和总结评估，强化监测评估结果应用。</w:t>
      </w:r>
    </w:p>
    <w:p>
      <w:pPr>
        <w:pStyle w:val="2"/>
        <w:spacing w:line="570" w:lineRule="exact"/>
        <w:ind w:firstLine="640"/>
        <w:rPr>
          <w:rFonts w:eastAsia="方正仿宋简体" w:cs="Times New Roman"/>
          <w:sz w:val="32"/>
        </w:rPr>
      </w:pPr>
    </w:p>
    <w:p>
      <w:pPr>
        <w:pStyle w:val="2"/>
        <w:spacing w:line="570" w:lineRule="exact"/>
        <w:ind w:firstLine="640"/>
        <w:rPr>
          <w:rFonts w:eastAsia="方正仿宋简体" w:cs="Times New Roman"/>
          <w:sz w:val="32"/>
          <w:szCs w:val="24"/>
        </w:rPr>
      </w:pPr>
      <w:r>
        <w:rPr>
          <w:rFonts w:hint="eastAsia" w:eastAsia="方正仿宋简体" w:cs="Times New Roman"/>
          <w:sz w:val="32"/>
          <w:szCs w:val="24"/>
        </w:rPr>
        <w:t>附件：阳江市</w:t>
      </w:r>
      <w:r>
        <w:rPr>
          <w:rFonts w:eastAsia="方正仿宋简体" w:cs="Times New Roman"/>
          <w:sz w:val="32"/>
          <w:szCs w:val="24"/>
        </w:rPr>
        <w:t>阳东区生态环境保护</w:t>
      </w:r>
      <w:r>
        <w:rPr>
          <w:rFonts w:hint="eastAsia" w:eastAsia="方正仿宋简体" w:cs="Times New Roman"/>
          <w:sz w:val="32"/>
          <w:szCs w:val="24"/>
        </w:rPr>
        <w:t>“十四五”</w:t>
      </w:r>
      <w:r>
        <w:rPr>
          <w:rFonts w:eastAsia="方正仿宋简体" w:cs="Times New Roman"/>
          <w:sz w:val="32"/>
          <w:szCs w:val="24"/>
        </w:rPr>
        <w:t>规划重点项目</w:t>
      </w:r>
    </w:p>
    <w:p>
      <w:pPr>
        <w:pStyle w:val="2"/>
        <w:spacing w:line="570" w:lineRule="exact"/>
        <w:ind w:firstLine="640"/>
        <w:rPr>
          <w:rFonts w:eastAsia="方正仿宋简体" w:cs="Times New Roman"/>
          <w:sz w:val="32"/>
          <w:szCs w:val="24"/>
        </w:rPr>
      </w:pPr>
    </w:p>
    <w:p>
      <w:pPr>
        <w:pStyle w:val="2"/>
        <w:spacing w:line="570" w:lineRule="exact"/>
        <w:ind w:firstLine="640"/>
        <w:rPr>
          <w:rFonts w:eastAsia="方正仿宋简体" w:cs="Times New Roman"/>
          <w:sz w:val="32"/>
          <w:szCs w:val="24"/>
        </w:rPr>
        <w:sectPr>
          <w:pgSz w:w="11906" w:h="16838"/>
          <w:pgMar w:top="2098" w:right="1474" w:bottom="1984" w:left="1587" w:header="851" w:footer="992" w:gutter="0"/>
          <w:cols w:space="425" w:num="1"/>
          <w:docGrid w:type="lines" w:linePitch="312" w:charSpace="0"/>
        </w:sectPr>
      </w:pPr>
    </w:p>
    <w:p>
      <w:pPr>
        <w:pStyle w:val="3"/>
        <w:jc w:val="left"/>
        <w:rPr>
          <w:rFonts w:cs="Times New Roman"/>
        </w:rPr>
      </w:pPr>
      <w:bookmarkStart w:id="215" w:name="_Toc157760738"/>
      <w:bookmarkStart w:id="216" w:name="_Toc2641"/>
      <w:bookmarkStart w:id="217" w:name="_Toc31296"/>
      <w:bookmarkStart w:id="218" w:name="_Toc13114"/>
      <w:r>
        <w:rPr>
          <w:rFonts w:cs="Times New Roman"/>
        </w:rPr>
        <w:t>附</w:t>
      </w:r>
      <w:bookmarkEnd w:id="215"/>
      <w:r>
        <w:rPr>
          <w:rFonts w:hint="eastAsia" w:cs="Times New Roman"/>
        </w:rPr>
        <w:t>件</w:t>
      </w:r>
    </w:p>
    <w:p>
      <w:pPr>
        <w:pStyle w:val="3"/>
        <w:keepNext w:val="0"/>
        <w:keepLines w:val="0"/>
        <w:adjustRightInd w:val="0"/>
        <w:snapToGrid w:val="0"/>
        <w:spacing w:line="570" w:lineRule="exact"/>
        <w:rPr>
          <w:rFonts w:eastAsia="方正小标宋简体" w:cs="Times New Roman"/>
          <w:sz w:val="36"/>
          <w:szCs w:val="36"/>
        </w:rPr>
      </w:pPr>
      <w:bookmarkStart w:id="219" w:name="_Toc157760739"/>
      <w:r>
        <w:rPr>
          <w:rFonts w:hint="eastAsia" w:eastAsia="方正小标宋简体" w:cs="Times New Roman"/>
          <w:sz w:val="36"/>
          <w:szCs w:val="36"/>
        </w:rPr>
        <w:t>阳江市阳东区生态环境保护“十四五”规划重点项目</w:t>
      </w:r>
      <w:bookmarkEnd w:id="216"/>
      <w:bookmarkEnd w:id="217"/>
      <w:bookmarkEnd w:id="218"/>
      <w:bookmarkEnd w:id="219"/>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5"/>
        <w:gridCol w:w="707"/>
        <w:gridCol w:w="1478"/>
        <w:gridCol w:w="2131"/>
        <w:gridCol w:w="7453"/>
        <w:gridCol w:w="1182"/>
        <w:gridCol w:w="1290"/>
        <w:gridCol w:w="1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146" w:type="pct"/>
            <w:vAlign w:val="center"/>
          </w:tcPr>
          <w:p>
            <w:pPr>
              <w:spacing w:line="300" w:lineRule="exact"/>
              <w:ind w:firstLine="0" w:firstLineChars="0"/>
              <w:jc w:val="center"/>
              <w:rPr>
                <w:rFonts w:ascii="黑体" w:hAnsi="黑体" w:eastAsia="黑体" w:cs="Times New Roman"/>
                <w:bCs/>
                <w:sz w:val="24"/>
              </w:rPr>
            </w:pPr>
            <w:r>
              <w:rPr>
                <w:rFonts w:ascii="黑体" w:hAnsi="黑体" w:eastAsia="黑体" w:cs="Times New Roman"/>
                <w:bCs/>
                <w:sz w:val="24"/>
              </w:rPr>
              <w:t>序号</w:t>
            </w:r>
          </w:p>
        </w:tc>
        <w:tc>
          <w:tcPr>
            <w:tcW w:w="686" w:type="pct"/>
            <w:gridSpan w:val="2"/>
            <w:vAlign w:val="center"/>
          </w:tcPr>
          <w:p>
            <w:pPr>
              <w:spacing w:line="300" w:lineRule="exact"/>
              <w:ind w:firstLine="0" w:firstLineChars="0"/>
              <w:jc w:val="center"/>
              <w:rPr>
                <w:rFonts w:ascii="黑体" w:hAnsi="黑体" w:eastAsia="黑体" w:cs="Times New Roman"/>
                <w:bCs/>
                <w:sz w:val="24"/>
              </w:rPr>
            </w:pPr>
            <w:r>
              <w:rPr>
                <w:rFonts w:ascii="黑体" w:hAnsi="黑体" w:eastAsia="黑体" w:cs="Times New Roman"/>
                <w:bCs/>
                <w:sz w:val="24"/>
              </w:rPr>
              <w:t>项目类型</w:t>
            </w:r>
          </w:p>
        </w:tc>
        <w:tc>
          <w:tcPr>
            <w:tcW w:w="669" w:type="pct"/>
            <w:vAlign w:val="center"/>
          </w:tcPr>
          <w:p>
            <w:pPr>
              <w:spacing w:line="300" w:lineRule="exact"/>
              <w:ind w:firstLine="0" w:firstLineChars="0"/>
              <w:jc w:val="center"/>
              <w:rPr>
                <w:rFonts w:ascii="黑体" w:hAnsi="黑体" w:eastAsia="黑体" w:cs="Times New Roman"/>
                <w:bCs/>
                <w:sz w:val="24"/>
              </w:rPr>
            </w:pPr>
            <w:r>
              <w:rPr>
                <w:rFonts w:ascii="黑体" w:hAnsi="黑体" w:eastAsia="黑体" w:cs="Times New Roman"/>
                <w:bCs/>
                <w:sz w:val="24"/>
              </w:rPr>
              <w:t>项目名称</w:t>
            </w:r>
          </w:p>
        </w:tc>
        <w:tc>
          <w:tcPr>
            <w:tcW w:w="2340" w:type="pct"/>
            <w:vAlign w:val="center"/>
          </w:tcPr>
          <w:p>
            <w:pPr>
              <w:spacing w:line="300" w:lineRule="exact"/>
              <w:ind w:firstLine="0" w:firstLineChars="0"/>
              <w:jc w:val="center"/>
              <w:rPr>
                <w:rFonts w:ascii="黑体" w:hAnsi="黑体" w:eastAsia="黑体" w:cs="Times New Roman"/>
                <w:bCs/>
                <w:sz w:val="24"/>
              </w:rPr>
            </w:pPr>
            <w:r>
              <w:rPr>
                <w:rFonts w:ascii="黑体" w:hAnsi="黑体" w:eastAsia="黑体" w:cs="Times New Roman"/>
                <w:bCs/>
                <w:sz w:val="24"/>
              </w:rPr>
              <w:t>建设内容及规模</w:t>
            </w:r>
          </w:p>
        </w:tc>
        <w:tc>
          <w:tcPr>
            <w:tcW w:w="371" w:type="pct"/>
            <w:vAlign w:val="center"/>
          </w:tcPr>
          <w:p>
            <w:pPr>
              <w:spacing w:line="300" w:lineRule="exact"/>
              <w:ind w:firstLine="0" w:firstLineChars="0"/>
              <w:jc w:val="center"/>
              <w:rPr>
                <w:rFonts w:ascii="黑体" w:hAnsi="黑体" w:eastAsia="黑体" w:cs="Times New Roman"/>
                <w:bCs/>
                <w:sz w:val="24"/>
              </w:rPr>
            </w:pPr>
            <w:r>
              <w:rPr>
                <w:rFonts w:ascii="黑体" w:hAnsi="黑体" w:eastAsia="黑体" w:cs="Times New Roman"/>
                <w:bCs/>
                <w:sz w:val="24"/>
              </w:rPr>
              <w:t>起止年限</w:t>
            </w:r>
          </w:p>
        </w:tc>
        <w:tc>
          <w:tcPr>
            <w:tcW w:w="405" w:type="pct"/>
            <w:vAlign w:val="center"/>
          </w:tcPr>
          <w:p>
            <w:pPr>
              <w:spacing w:line="300" w:lineRule="exact"/>
              <w:ind w:firstLine="0" w:firstLineChars="0"/>
              <w:jc w:val="center"/>
              <w:rPr>
                <w:rFonts w:ascii="黑体" w:hAnsi="黑体" w:eastAsia="黑体" w:cs="Times New Roman"/>
                <w:bCs/>
                <w:sz w:val="24"/>
              </w:rPr>
            </w:pPr>
            <w:r>
              <w:rPr>
                <w:rFonts w:ascii="黑体" w:hAnsi="黑体" w:eastAsia="黑体" w:cs="Times New Roman"/>
                <w:bCs/>
                <w:sz w:val="24"/>
              </w:rPr>
              <w:t>投资预算（万元）</w:t>
            </w:r>
          </w:p>
        </w:tc>
        <w:tc>
          <w:tcPr>
            <w:tcW w:w="381" w:type="pct"/>
            <w:vAlign w:val="center"/>
          </w:tcPr>
          <w:p>
            <w:pPr>
              <w:spacing w:line="300" w:lineRule="exact"/>
              <w:ind w:firstLine="0" w:firstLineChars="0"/>
              <w:jc w:val="center"/>
              <w:rPr>
                <w:rFonts w:ascii="黑体" w:hAnsi="黑体" w:eastAsia="黑体" w:cs="Times New Roman"/>
                <w:bCs/>
                <w:sz w:val="24"/>
              </w:rPr>
            </w:pPr>
            <w:r>
              <w:rPr>
                <w:rFonts w:ascii="黑体" w:hAnsi="黑体" w:eastAsia="黑体" w:cs="Times New Roman"/>
                <w:bCs/>
                <w:sz w:val="24"/>
              </w:rPr>
              <w:t>责任单位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5" w:hRule="atLeast"/>
          <w:jc w:val="center"/>
        </w:trPr>
        <w:tc>
          <w:tcPr>
            <w:tcW w:w="146" w:type="pct"/>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1</w:t>
            </w:r>
          </w:p>
        </w:tc>
        <w:tc>
          <w:tcPr>
            <w:tcW w:w="222" w:type="pct"/>
            <w:vMerge w:val="restart"/>
            <w:vAlign w:val="center"/>
          </w:tcPr>
          <w:p>
            <w:pPr>
              <w:spacing w:line="300" w:lineRule="exact"/>
              <w:ind w:firstLine="0" w:firstLineChars="0"/>
              <w:rPr>
                <w:rFonts w:eastAsia="方正仿宋简体" w:cs="Times New Roman"/>
                <w:b/>
                <w:sz w:val="21"/>
                <w:szCs w:val="21"/>
              </w:rPr>
            </w:pPr>
            <w:r>
              <w:rPr>
                <w:rFonts w:eastAsia="方正仿宋简体" w:cs="Times New Roman"/>
                <w:b/>
                <w:sz w:val="21"/>
                <w:szCs w:val="21"/>
              </w:rPr>
              <w:t>一、环境综合治理工程</w:t>
            </w:r>
          </w:p>
          <w:p>
            <w:pPr>
              <w:spacing w:line="300" w:lineRule="exact"/>
              <w:ind w:firstLine="0" w:firstLineChars="0"/>
              <w:jc w:val="center"/>
              <w:rPr>
                <w:rFonts w:eastAsia="方正仿宋简体" w:cs="Times New Roman"/>
                <w:sz w:val="21"/>
                <w:szCs w:val="21"/>
              </w:rPr>
            </w:pPr>
          </w:p>
        </w:tc>
        <w:tc>
          <w:tcPr>
            <w:tcW w:w="464" w:type="pct"/>
            <w:vMerge w:val="restar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水环境综合治理与饮用水水源保护工程</w:t>
            </w:r>
          </w:p>
        </w:tc>
        <w:tc>
          <w:tcPr>
            <w:tcW w:w="669"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阳东区三合河治理工程</w:t>
            </w:r>
          </w:p>
        </w:tc>
        <w:tc>
          <w:tcPr>
            <w:tcW w:w="2340"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治理工程治理河道长40.8千米，护岸长度为40.8千米，河道清淤疏浚长度20.0千米。</w:t>
            </w:r>
          </w:p>
        </w:tc>
        <w:tc>
          <w:tcPr>
            <w:tcW w:w="371"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2021-2023</w:t>
            </w:r>
          </w:p>
        </w:tc>
        <w:tc>
          <w:tcPr>
            <w:tcW w:w="405"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8200</w:t>
            </w:r>
          </w:p>
        </w:tc>
        <w:tc>
          <w:tcPr>
            <w:tcW w:w="381"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区水务局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0" w:hRule="atLeast"/>
          <w:jc w:val="center"/>
        </w:trPr>
        <w:tc>
          <w:tcPr>
            <w:tcW w:w="146" w:type="pct"/>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2</w:t>
            </w:r>
          </w:p>
        </w:tc>
        <w:tc>
          <w:tcPr>
            <w:tcW w:w="222" w:type="pct"/>
            <w:vMerge w:val="continue"/>
            <w:vAlign w:val="center"/>
          </w:tcPr>
          <w:p>
            <w:pPr>
              <w:spacing w:line="300" w:lineRule="exact"/>
              <w:ind w:firstLine="0" w:firstLineChars="0"/>
              <w:rPr>
                <w:rFonts w:eastAsia="方正仿宋简体" w:cs="Times New Roman"/>
                <w:sz w:val="21"/>
                <w:szCs w:val="21"/>
              </w:rPr>
            </w:pPr>
          </w:p>
        </w:tc>
        <w:tc>
          <w:tcPr>
            <w:tcW w:w="464" w:type="pct"/>
            <w:vMerge w:val="continue"/>
            <w:vAlign w:val="center"/>
          </w:tcPr>
          <w:p>
            <w:pPr>
              <w:spacing w:line="300" w:lineRule="exact"/>
              <w:ind w:firstLine="0" w:firstLineChars="0"/>
              <w:rPr>
                <w:rFonts w:eastAsia="方正仿宋简体" w:cs="Times New Roman"/>
                <w:sz w:val="21"/>
                <w:szCs w:val="21"/>
              </w:rPr>
            </w:pPr>
          </w:p>
        </w:tc>
        <w:tc>
          <w:tcPr>
            <w:tcW w:w="669"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阳江市阳东区沙湾河、大迳河、蛤沟河、笏朝河（雅韶段）、马尾河、珠环河治理工程</w:t>
            </w:r>
          </w:p>
        </w:tc>
        <w:tc>
          <w:tcPr>
            <w:tcW w:w="2340"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治理河道，护岸加固、岸坡治理，碧道建设、生态景观提升等。</w:t>
            </w:r>
          </w:p>
        </w:tc>
        <w:tc>
          <w:tcPr>
            <w:tcW w:w="371"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2023-2025</w:t>
            </w:r>
          </w:p>
        </w:tc>
        <w:tc>
          <w:tcPr>
            <w:tcW w:w="405"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19800</w:t>
            </w:r>
          </w:p>
        </w:tc>
        <w:tc>
          <w:tcPr>
            <w:tcW w:w="381"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区水务局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4" w:hRule="atLeast"/>
          <w:jc w:val="center"/>
        </w:trPr>
        <w:tc>
          <w:tcPr>
            <w:tcW w:w="146" w:type="pct"/>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3</w:t>
            </w:r>
          </w:p>
        </w:tc>
        <w:tc>
          <w:tcPr>
            <w:tcW w:w="222" w:type="pct"/>
            <w:vMerge w:val="continue"/>
            <w:vAlign w:val="center"/>
          </w:tcPr>
          <w:p>
            <w:pPr>
              <w:spacing w:line="300" w:lineRule="exact"/>
              <w:ind w:firstLine="0" w:firstLineChars="0"/>
              <w:rPr>
                <w:rFonts w:eastAsia="方正仿宋简体" w:cs="Times New Roman"/>
                <w:sz w:val="21"/>
                <w:szCs w:val="21"/>
              </w:rPr>
            </w:pPr>
          </w:p>
        </w:tc>
        <w:tc>
          <w:tcPr>
            <w:tcW w:w="464" w:type="pct"/>
            <w:vMerge w:val="continue"/>
            <w:vAlign w:val="center"/>
          </w:tcPr>
          <w:p>
            <w:pPr>
              <w:spacing w:line="300" w:lineRule="exact"/>
              <w:ind w:firstLine="0" w:firstLineChars="0"/>
              <w:rPr>
                <w:rFonts w:eastAsia="方正仿宋简体" w:cs="Times New Roman"/>
                <w:sz w:val="21"/>
                <w:szCs w:val="21"/>
              </w:rPr>
            </w:pPr>
          </w:p>
        </w:tc>
        <w:tc>
          <w:tcPr>
            <w:tcW w:w="669"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阳东区周亨河、大河治理工程</w:t>
            </w:r>
          </w:p>
        </w:tc>
        <w:tc>
          <w:tcPr>
            <w:tcW w:w="2340"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1、周亨河治理工程治理河道长19.5千米，护岸长度为19.5千米，河道清淤疏浚长度16.3千米。</w:t>
            </w:r>
          </w:p>
          <w:p>
            <w:pPr>
              <w:spacing w:line="300" w:lineRule="exact"/>
              <w:ind w:firstLine="0" w:firstLineChars="0"/>
              <w:rPr>
                <w:rFonts w:eastAsia="方正仿宋简体" w:cs="Times New Roman"/>
                <w:sz w:val="21"/>
                <w:szCs w:val="21"/>
              </w:rPr>
            </w:pPr>
            <w:r>
              <w:rPr>
                <w:rFonts w:eastAsia="方正仿宋简体" w:cs="Times New Roman"/>
                <w:sz w:val="21"/>
                <w:szCs w:val="21"/>
              </w:rPr>
              <w:t>2、大河治理河道长17千米，护岸长度11.4千米，河道清淤疏浚长度17.0千米等。</w:t>
            </w:r>
          </w:p>
        </w:tc>
        <w:tc>
          <w:tcPr>
            <w:tcW w:w="371" w:type="pct"/>
            <w:vAlign w:val="center"/>
          </w:tcPr>
          <w:p>
            <w:pPr>
              <w:spacing w:line="300" w:lineRule="exact"/>
              <w:ind w:firstLine="0" w:firstLineChars="0"/>
              <w:jc w:val="center"/>
              <w:rPr>
                <w:rFonts w:eastAsia="方正仿宋简体" w:cs="Times New Roman"/>
                <w:color w:val="C00000"/>
                <w:sz w:val="21"/>
                <w:szCs w:val="21"/>
              </w:rPr>
            </w:pPr>
            <w:r>
              <w:rPr>
                <w:rFonts w:eastAsia="方正仿宋简体" w:cs="Times New Roman"/>
                <w:sz w:val="21"/>
                <w:szCs w:val="21"/>
              </w:rPr>
              <w:t>2021-2023</w:t>
            </w:r>
          </w:p>
        </w:tc>
        <w:tc>
          <w:tcPr>
            <w:tcW w:w="405"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6300</w:t>
            </w:r>
          </w:p>
        </w:tc>
        <w:tc>
          <w:tcPr>
            <w:tcW w:w="381"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区水务局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0" w:hRule="atLeast"/>
          <w:jc w:val="center"/>
        </w:trPr>
        <w:tc>
          <w:tcPr>
            <w:tcW w:w="146" w:type="pct"/>
            <w:tcBorders>
              <w:top w:val="single" w:color="auto" w:sz="4" w:space="0"/>
              <w:left w:val="single" w:color="auto" w:sz="4" w:space="0"/>
              <w:bottom w:val="single" w:color="auto" w:sz="4" w:space="0"/>
              <w:right w:val="single" w:color="auto" w:sz="4" w:space="0"/>
            </w:tcBorders>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4</w:t>
            </w:r>
          </w:p>
        </w:tc>
        <w:tc>
          <w:tcPr>
            <w:tcW w:w="222" w:type="pct"/>
            <w:vMerge w:val="continue"/>
            <w:vAlign w:val="center"/>
          </w:tcPr>
          <w:p>
            <w:pPr>
              <w:spacing w:line="300" w:lineRule="exact"/>
              <w:ind w:firstLine="0" w:firstLineChars="0"/>
              <w:jc w:val="center"/>
              <w:rPr>
                <w:rFonts w:eastAsia="方正仿宋简体" w:cs="Times New Roman"/>
                <w:sz w:val="21"/>
                <w:szCs w:val="21"/>
              </w:rPr>
            </w:pPr>
          </w:p>
        </w:tc>
        <w:tc>
          <w:tcPr>
            <w:tcW w:w="464" w:type="pct"/>
            <w:vMerge w:val="restart"/>
            <w:tcBorders>
              <w:top w:val="single" w:color="auto" w:sz="4" w:space="0"/>
              <w:left w:val="single" w:color="auto" w:sz="4" w:space="0"/>
              <w:right w:val="single" w:color="auto" w:sz="4" w:space="0"/>
            </w:tcBorders>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农业农村环境治理</w:t>
            </w:r>
          </w:p>
        </w:tc>
        <w:tc>
          <w:tcPr>
            <w:tcW w:w="669" w:type="pct"/>
            <w:tcBorders>
              <w:top w:val="single" w:color="auto" w:sz="4" w:space="0"/>
              <w:left w:val="single" w:color="auto" w:sz="4" w:space="0"/>
              <w:right w:val="single" w:color="auto" w:sz="4" w:space="0"/>
            </w:tcBorders>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阳东区2020年非畜牧大县畜禽粪污资源化利用整县推进项目</w:t>
            </w:r>
          </w:p>
        </w:tc>
        <w:tc>
          <w:tcPr>
            <w:tcW w:w="2340" w:type="pct"/>
            <w:tcBorders>
              <w:top w:val="single" w:color="auto" w:sz="4" w:space="0"/>
              <w:left w:val="single" w:color="auto" w:sz="4" w:space="0"/>
              <w:right w:val="single" w:color="auto" w:sz="4" w:space="0"/>
            </w:tcBorders>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1、规模养殖场粪污处理设施改造工程；</w:t>
            </w:r>
          </w:p>
          <w:p>
            <w:pPr>
              <w:spacing w:line="300" w:lineRule="exact"/>
              <w:ind w:firstLine="0" w:firstLineChars="0"/>
              <w:rPr>
                <w:rFonts w:eastAsia="方正仿宋简体" w:cs="Times New Roman"/>
                <w:sz w:val="21"/>
                <w:szCs w:val="21"/>
              </w:rPr>
            </w:pPr>
            <w:r>
              <w:rPr>
                <w:rFonts w:eastAsia="方正仿宋简体" w:cs="Times New Roman"/>
                <w:sz w:val="21"/>
                <w:szCs w:val="21"/>
              </w:rPr>
              <w:t>2、规模以下养殖场（专业户）粪污处理设施改造工程；</w:t>
            </w:r>
          </w:p>
          <w:p>
            <w:pPr>
              <w:spacing w:line="300" w:lineRule="exact"/>
              <w:ind w:firstLine="0" w:firstLineChars="0"/>
              <w:rPr>
                <w:rFonts w:eastAsia="方正仿宋简体" w:cs="Times New Roman"/>
                <w:sz w:val="21"/>
                <w:szCs w:val="21"/>
              </w:rPr>
            </w:pPr>
            <w:r>
              <w:rPr>
                <w:rFonts w:eastAsia="方正仿宋简体" w:cs="Times New Roman"/>
                <w:sz w:val="21"/>
                <w:szCs w:val="21"/>
              </w:rPr>
              <w:t>3、区域性粪污集中处理工程；</w:t>
            </w:r>
          </w:p>
          <w:p>
            <w:pPr>
              <w:spacing w:line="300" w:lineRule="exact"/>
              <w:ind w:firstLine="0" w:firstLineChars="0"/>
              <w:rPr>
                <w:rFonts w:eastAsia="方正仿宋简体" w:cs="Times New Roman"/>
                <w:sz w:val="21"/>
                <w:szCs w:val="21"/>
              </w:rPr>
            </w:pPr>
            <w:r>
              <w:rPr>
                <w:rFonts w:eastAsia="方正仿宋简体" w:cs="Times New Roman"/>
                <w:sz w:val="21"/>
                <w:szCs w:val="21"/>
              </w:rPr>
              <w:t>4、畜禽养殖种养结合循环一体化示范基地建设；</w:t>
            </w:r>
          </w:p>
          <w:p>
            <w:pPr>
              <w:spacing w:line="300" w:lineRule="exact"/>
              <w:ind w:firstLine="0" w:firstLineChars="0"/>
              <w:rPr>
                <w:rFonts w:eastAsia="方正仿宋简体" w:cs="Times New Roman"/>
                <w:sz w:val="21"/>
                <w:szCs w:val="21"/>
              </w:rPr>
            </w:pPr>
            <w:r>
              <w:rPr>
                <w:rFonts w:eastAsia="方正仿宋简体" w:cs="Times New Roman"/>
                <w:sz w:val="21"/>
                <w:szCs w:val="21"/>
              </w:rPr>
              <w:t>5、聘请第三方服务团队为项目提供科技支撑服务等内容建设。</w:t>
            </w:r>
          </w:p>
        </w:tc>
        <w:tc>
          <w:tcPr>
            <w:tcW w:w="371" w:type="pct"/>
            <w:tcBorders>
              <w:top w:val="single" w:color="auto" w:sz="4" w:space="0"/>
              <w:left w:val="single" w:color="auto" w:sz="4" w:space="0"/>
              <w:right w:val="single" w:color="auto" w:sz="4" w:space="0"/>
            </w:tcBorders>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2020-2022</w:t>
            </w:r>
          </w:p>
        </w:tc>
        <w:tc>
          <w:tcPr>
            <w:tcW w:w="405" w:type="pct"/>
            <w:tcBorders>
              <w:top w:val="single" w:color="auto" w:sz="4" w:space="0"/>
              <w:left w:val="single" w:color="auto" w:sz="4" w:space="0"/>
              <w:right w:val="single" w:color="auto" w:sz="4" w:space="0"/>
            </w:tcBorders>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6900</w:t>
            </w:r>
          </w:p>
        </w:tc>
        <w:tc>
          <w:tcPr>
            <w:tcW w:w="381" w:type="pct"/>
            <w:tcBorders>
              <w:top w:val="single" w:color="auto" w:sz="4" w:space="0"/>
              <w:left w:val="single" w:color="auto" w:sz="4" w:space="0"/>
              <w:right w:val="single" w:color="auto" w:sz="4" w:space="0"/>
            </w:tcBorders>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区农业农村局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46" w:type="pct"/>
            <w:tcBorders>
              <w:top w:val="single" w:color="auto" w:sz="4" w:space="0"/>
            </w:tcBorders>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5</w:t>
            </w:r>
          </w:p>
        </w:tc>
        <w:tc>
          <w:tcPr>
            <w:tcW w:w="222" w:type="pct"/>
            <w:vMerge w:val="continue"/>
            <w:vAlign w:val="center"/>
          </w:tcPr>
          <w:p>
            <w:pPr>
              <w:spacing w:line="300" w:lineRule="exact"/>
              <w:ind w:firstLine="0" w:firstLineChars="0"/>
              <w:rPr>
                <w:rFonts w:eastAsia="方正仿宋简体" w:cs="Times New Roman"/>
                <w:sz w:val="21"/>
                <w:szCs w:val="21"/>
              </w:rPr>
            </w:pPr>
          </w:p>
        </w:tc>
        <w:tc>
          <w:tcPr>
            <w:tcW w:w="464" w:type="pct"/>
            <w:vMerge w:val="continue"/>
            <w:tcBorders>
              <w:left w:val="single" w:color="auto" w:sz="4" w:space="0"/>
              <w:right w:val="single" w:color="auto" w:sz="4" w:space="0"/>
            </w:tcBorders>
            <w:vAlign w:val="center"/>
          </w:tcPr>
          <w:p>
            <w:pPr>
              <w:spacing w:line="300" w:lineRule="exact"/>
              <w:ind w:firstLine="0" w:firstLineChars="0"/>
              <w:rPr>
                <w:rFonts w:eastAsia="方正仿宋简体" w:cs="Times New Roman"/>
                <w:sz w:val="21"/>
                <w:szCs w:val="21"/>
              </w:rPr>
            </w:pPr>
          </w:p>
        </w:tc>
        <w:tc>
          <w:tcPr>
            <w:tcW w:w="669" w:type="pct"/>
            <w:tcBorders>
              <w:top w:val="single" w:color="auto" w:sz="4" w:space="0"/>
            </w:tcBorders>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阳东区全域人居厕所革命建设工程</w:t>
            </w:r>
          </w:p>
        </w:tc>
        <w:tc>
          <w:tcPr>
            <w:tcW w:w="2340" w:type="pct"/>
            <w:tcBorders>
              <w:top w:val="single" w:color="auto" w:sz="4" w:space="0"/>
            </w:tcBorders>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设计范围498条自然村标准公厕（含19座旅游公厕）、户厕改造9140户，解决厕所革命问题。</w:t>
            </w:r>
          </w:p>
        </w:tc>
        <w:tc>
          <w:tcPr>
            <w:tcW w:w="371" w:type="pct"/>
            <w:tcBorders>
              <w:top w:val="single" w:color="auto" w:sz="4" w:space="0"/>
            </w:tcBorders>
            <w:vAlign w:val="center"/>
          </w:tcPr>
          <w:p>
            <w:pPr>
              <w:spacing w:line="300" w:lineRule="exact"/>
              <w:ind w:firstLine="0" w:firstLineChars="0"/>
              <w:jc w:val="center"/>
              <w:rPr>
                <w:rFonts w:eastAsia="方正仿宋简体" w:cs="Times New Roman"/>
                <w:color w:val="C00000"/>
                <w:sz w:val="21"/>
                <w:szCs w:val="21"/>
              </w:rPr>
            </w:pPr>
            <w:r>
              <w:rPr>
                <w:rFonts w:eastAsia="方正仿宋简体" w:cs="Times New Roman"/>
                <w:sz w:val="21"/>
                <w:szCs w:val="21"/>
              </w:rPr>
              <w:t>2021-2023</w:t>
            </w:r>
          </w:p>
        </w:tc>
        <w:tc>
          <w:tcPr>
            <w:tcW w:w="405" w:type="pct"/>
            <w:tcBorders>
              <w:top w:val="single" w:color="auto" w:sz="4" w:space="0"/>
            </w:tcBorders>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6900</w:t>
            </w:r>
          </w:p>
        </w:tc>
        <w:tc>
          <w:tcPr>
            <w:tcW w:w="381" w:type="pct"/>
            <w:tcBorders>
              <w:top w:val="single" w:color="auto" w:sz="4" w:space="0"/>
            </w:tcBorders>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区农业农村局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9" w:hRule="atLeast"/>
          <w:jc w:val="center"/>
        </w:trPr>
        <w:tc>
          <w:tcPr>
            <w:tcW w:w="146" w:type="pct"/>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6</w:t>
            </w:r>
          </w:p>
        </w:tc>
        <w:tc>
          <w:tcPr>
            <w:tcW w:w="222" w:type="pct"/>
            <w:vAlign w:val="center"/>
          </w:tcPr>
          <w:p>
            <w:pPr>
              <w:spacing w:line="300" w:lineRule="exact"/>
              <w:ind w:firstLine="0" w:firstLineChars="0"/>
              <w:rPr>
                <w:rFonts w:eastAsia="方正仿宋简体" w:cs="Times New Roman"/>
                <w:b/>
                <w:sz w:val="21"/>
                <w:szCs w:val="21"/>
              </w:rPr>
            </w:pPr>
            <w:r>
              <w:rPr>
                <w:rFonts w:eastAsia="方正仿宋简体" w:cs="Times New Roman"/>
                <w:b/>
                <w:sz w:val="21"/>
                <w:szCs w:val="21"/>
              </w:rPr>
              <w:t>二、生态系统保护修复工程</w:t>
            </w:r>
          </w:p>
        </w:tc>
        <w:tc>
          <w:tcPr>
            <w:tcW w:w="464"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水生态修复与保护工程</w:t>
            </w:r>
          </w:p>
        </w:tc>
        <w:tc>
          <w:tcPr>
            <w:tcW w:w="669"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阳江市阳东区河长制碧道工程</w:t>
            </w:r>
          </w:p>
        </w:tc>
        <w:tc>
          <w:tcPr>
            <w:tcW w:w="2340"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端陶村至英村水闸段（约6.5千米），拟进行堤防加固、河道清淤、建设两个湿地公园以及休闲步道、主题文化公园、亲水平台等。</w:t>
            </w:r>
          </w:p>
        </w:tc>
        <w:tc>
          <w:tcPr>
            <w:tcW w:w="371"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2019-2023</w:t>
            </w:r>
          </w:p>
        </w:tc>
        <w:tc>
          <w:tcPr>
            <w:tcW w:w="405"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4900</w:t>
            </w:r>
          </w:p>
        </w:tc>
        <w:tc>
          <w:tcPr>
            <w:tcW w:w="381"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区水务局（阳东区水利综合经营管理中心）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 w:type="pct"/>
            <w:vAlign w:val="center"/>
          </w:tcPr>
          <w:p>
            <w:pPr>
              <w:spacing w:line="300" w:lineRule="exact"/>
              <w:ind w:firstLine="0" w:firstLineChars="0"/>
              <w:jc w:val="center"/>
              <w:rPr>
                <w:rFonts w:eastAsia="方正仿宋简体" w:cs="Times New Roman"/>
                <w:color w:val="0000FF"/>
                <w:sz w:val="21"/>
                <w:szCs w:val="21"/>
              </w:rPr>
            </w:pPr>
            <w:r>
              <w:rPr>
                <w:rFonts w:hint="eastAsia" w:eastAsia="方正仿宋简体" w:cs="Times New Roman"/>
                <w:sz w:val="21"/>
                <w:szCs w:val="21"/>
              </w:rPr>
              <w:t>7</w:t>
            </w:r>
          </w:p>
        </w:tc>
        <w:tc>
          <w:tcPr>
            <w:tcW w:w="222" w:type="pct"/>
            <w:vMerge w:val="restart"/>
            <w:vAlign w:val="center"/>
          </w:tcPr>
          <w:p>
            <w:pPr>
              <w:spacing w:line="300" w:lineRule="exact"/>
              <w:ind w:firstLine="0" w:firstLineChars="0"/>
              <w:rPr>
                <w:rFonts w:eastAsia="方正仿宋简体" w:cs="Times New Roman"/>
                <w:b/>
                <w:sz w:val="21"/>
                <w:szCs w:val="21"/>
              </w:rPr>
            </w:pPr>
            <w:r>
              <w:rPr>
                <w:rFonts w:eastAsia="方正仿宋简体" w:cs="Times New Roman"/>
                <w:b/>
                <w:sz w:val="21"/>
                <w:szCs w:val="21"/>
              </w:rPr>
              <w:t>三、环保基础设施建设工程</w:t>
            </w:r>
          </w:p>
        </w:tc>
        <w:tc>
          <w:tcPr>
            <w:tcW w:w="464" w:type="pct"/>
            <w:vMerge w:val="restar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污水处理及管网建设工程</w:t>
            </w:r>
          </w:p>
        </w:tc>
        <w:tc>
          <w:tcPr>
            <w:tcW w:w="669" w:type="pct"/>
            <w:vAlign w:val="center"/>
          </w:tcPr>
          <w:p>
            <w:pPr>
              <w:spacing w:line="300" w:lineRule="exact"/>
              <w:ind w:firstLine="0" w:firstLineChars="0"/>
              <w:rPr>
                <w:rFonts w:eastAsia="方正仿宋简体" w:cs="Times New Roman"/>
                <w:color w:val="0000FF"/>
                <w:sz w:val="21"/>
                <w:szCs w:val="21"/>
              </w:rPr>
            </w:pPr>
            <w:r>
              <w:rPr>
                <w:rFonts w:eastAsia="方正仿宋简体" w:cs="Times New Roman"/>
                <w:sz w:val="21"/>
                <w:szCs w:val="21"/>
              </w:rPr>
              <w:t>阳东区七个镇污水处理厂建设项目</w:t>
            </w:r>
          </w:p>
        </w:tc>
        <w:tc>
          <w:tcPr>
            <w:tcW w:w="2340" w:type="pct"/>
            <w:vAlign w:val="center"/>
          </w:tcPr>
          <w:p>
            <w:pPr>
              <w:spacing w:line="300" w:lineRule="exact"/>
              <w:ind w:firstLine="0" w:firstLineChars="0"/>
              <w:rPr>
                <w:rFonts w:eastAsia="方正仿宋简体" w:cs="Times New Roman"/>
                <w:color w:val="0000FF"/>
                <w:sz w:val="21"/>
                <w:szCs w:val="21"/>
              </w:rPr>
            </w:pPr>
            <w:r>
              <w:rPr>
                <w:rFonts w:eastAsia="方正仿宋简体" w:cs="Times New Roman"/>
                <w:sz w:val="21"/>
                <w:szCs w:val="21"/>
              </w:rPr>
              <w:t>在大沟、塘坪、大八、那龙镇各新建一座设计处理能力0.3万吨/日的污水处理厂，合山镇、新洲镇各新建一座设计处理能力0.4万吨/日的污水处理厂，雅韶镇新建一座设计处理能力1万吨/日的污水处理厂。</w:t>
            </w:r>
          </w:p>
        </w:tc>
        <w:tc>
          <w:tcPr>
            <w:tcW w:w="371"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2022-2025</w:t>
            </w:r>
          </w:p>
        </w:tc>
        <w:tc>
          <w:tcPr>
            <w:tcW w:w="405"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24926.1</w:t>
            </w:r>
          </w:p>
        </w:tc>
        <w:tc>
          <w:tcPr>
            <w:tcW w:w="381"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区住建局，各相关镇政府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 w:type="pct"/>
            <w:vAlign w:val="center"/>
          </w:tcPr>
          <w:p>
            <w:pPr>
              <w:spacing w:line="300" w:lineRule="exact"/>
              <w:ind w:firstLine="0" w:firstLineChars="0"/>
              <w:jc w:val="center"/>
              <w:rPr>
                <w:rFonts w:eastAsia="方正仿宋简体" w:cs="Times New Roman"/>
                <w:color w:val="0000FF"/>
                <w:sz w:val="21"/>
                <w:szCs w:val="21"/>
              </w:rPr>
            </w:pPr>
            <w:r>
              <w:rPr>
                <w:rFonts w:hint="eastAsia" w:eastAsia="方正仿宋简体" w:cs="Times New Roman"/>
                <w:sz w:val="21"/>
                <w:szCs w:val="21"/>
              </w:rPr>
              <w:t>8</w:t>
            </w:r>
          </w:p>
        </w:tc>
        <w:tc>
          <w:tcPr>
            <w:tcW w:w="222" w:type="pct"/>
            <w:vMerge w:val="continue"/>
            <w:vAlign w:val="center"/>
          </w:tcPr>
          <w:p>
            <w:pPr>
              <w:spacing w:line="300" w:lineRule="exact"/>
              <w:ind w:firstLine="0" w:firstLineChars="0"/>
              <w:rPr>
                <w:rFonts w:eastAsia="方正仿宋简体" w:cs="Times New Roman"/>
                <w:sz w:val="21"/>
                <w:szCs w:val="21"/>
              </w:rPr>
            </w:pPr>
          </w:p>
        </w:tc>
        <w:tc>
          <w:tcPr>
            <w:tcW w:w="464" w:type="pct"/>
            <w:vMerge w:val="continue"/>
            <w:vAlign w:val="center"/>
          </w:tcPr>
          <w:p>
            <w:pPr>
              <w:spacing w:line="300" w:lineRule="exact"/>
              <w:ind w:firstLine="0" w:firstLineChars="0"/>
              <w:rPr>
                <w:rFonts w:eastAsia="方正仿宋简体" w:cs="Times New Roman"/>
                <w:sz w:val="21"/>
                <w:szCs w:val="21"/>
              </w:rPr>
            </w:pPr>
          </w:p>
        </w:tc>
        <w:tc>
          <w:tcPr>
            <w:tcW w:w="669" w:type="pct"/>
            <w:vAlign w:val="center"/>
          </w:tcPr>
          <w:p>
            <w:pPr>
              <w:spacing w:line="300" w:lineRule="exact"/>
              <w:ind w:firstLine="0" w:firstLineChars="0"/>
              <w:rPr>
                <w:rFonts w:eastAsia="方正仿宋简体" w:cs="Times New Roman"/>
                <w:color w:val="0000FF"/>
                <w:sz w:val="21"/>
                <w:szCs w:val="21"/>
              </w:rPr>
            </w:pPr>
            <w:r>
              <w:rPr>
                <w:rFonts w:eastAsia="方正仿宋简体" w:cs="Times New Roman"/>
                <w:sz w:val="21"/>
                <w:szCs w:val="21"/>
              </w:rPr>
              <w:t>阳江市阳东区镇区污水处理设施及配套管网补短板建设工程项目</w:t>
            </w:r>
          </w:p>
        </w:tc>
        <w:tc>
          <w:tcPr>
            <w:tcW w:w="2340" w:type="pct"/>
            <w:vAlign w:val="center"/>
          </w:tcPr>
          <w:p>
            <w:pPr>
              <w:spacing w:line="300" w:lineRule="exact"/>
              <w:ind w:firstLine="0" w:firstLineChars="0"/>
              <w:rPr>
                <w:rFonts w:eastAsia="方正仿宋简体" w:cs="Times New Roman"/>
                <w:color w:val="0000FF"/>
                <w:sz w:val="21"/>
                <w:szCs w:val="21"/>
              </w:rPr>
            </w:pPr>
            <w:r>
              <w:rPr>
                <w:rFonts w:eastAsia="方正仿宋简体" w:cs="Times New Roman"/>
                <w:sz w:val="21"/>
                <w:szCs w:val="21"/>
              </w:rPr>
              <w:t>包括东平镇污水处理厂（设计处理能力0.5万吨/日）以及北惯、那龙、大沟、大八、红丰、雅韶、东平、合山、新洲及塘坪10个镇新建管网约333公里。</w:t>
            </w:r>
          </w:p>
        </w:tc>
        <w:tc>
          <w:tcPr>
            <w:tcW w:w="371" w:type="pct"/>
            <w:vAlign w:val="center"/>
          </w:tcPr>
          <w:p>
            <w:pPr>
              <w:spacing w:line="300" w:lineRule="exact"/>
              <w:ind w:firstLine="0" w:firstLineChars="0"/>
              <w:jc w:val="center"/>
              <w:rPr>
                <w:rFonts w:eastAsia="方正仿宋简体" w:cs="Times New Roman"/>
                <w:color w:val="0000FF"/>
                <w:sz w:val="21"/>
                <w:szCs w:val="21"/>
              </w:rPr>
            </w:pPr>
            <w:r>
              <w:rPr>
                <w:rFonts w:eastAsia="方正仿宋简体" w:cs="Times New Roman"/>
                <w:sz w:val="21"/>
                <w:szCs w:val="21"/>
              </w:rPr>
              <w:t>2022-2025</w:t>
            </w:r>
          </w:p>
        </w:tc>
        <w:tc>
          <w:tcPr>
            <w:tcW w:w="405" w:type="pct"/>
            <w:vAlign w:val="center"/>
          </w:tcPr>
          <w:p>
            <w:pPr>
              <w:spacing w:line="300" w:lineRule="exact"/>
              <w:ind w:firstLine="0" w:firstLineChars="0"/>
              <w:jc w:val="center"/>
              <w:rPr>
                <w:rFonts w:eastAsia="方正仿宋简体" w:cs="Times New Roman"/>
                <w:color w:val="0000FF"/>
                <w:sz w:val="21"/>
                <w:szCs w:val="21"/>
              </w:rPr>
            </w:pPr>
            <w:r>
              <w:rPr>
                <w:rFonts w:eastAsia="方正仿宋简体" w:cs="Times New Roman"/>
                <w:sz w:val="21"/>
                <w:szCs w:val="21"/>
              </w:rPr>
              <w:t>56000</w:t>
            </w:r>
          </w:p>
        </w:tc>
        <w:tc>
          <w:tcPr>
            <w:tcW w:w="381"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区住建局，各相关镇政府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 w:type="pct"/>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9</w:t>
            </w:r>
          </w:p>
        </w:tc>
        <w:tc>
          <w:tcPr>
            <w:tcW w:w="222" w:type="pct"/>
            <w:vMerge w:val="continue"/>
            <w:vAlign w:val="center"/>
          </w:tcPr>
          <w:p>
            <w:pPr>
              <w:spacing w:line="300" w:lineRule="exact"/>
              <w:ind w:firstLine="0" w:firstLineChars="0"/>
              <w:rPr>
                <w:rFonts w:eastAsia="方正仿宋简体" w:cs="Times New Roman"/>
                <w:sz w:val="21"/>
                <w:szCs w:val="21"/>
              </w:rPr>
            </w:pPr>
          </w:p>
        </w:tc>
        <w:tc>
          <w:tcPr>
            <w:tcW w:w="464" w:type="pct"/>
            <w:vMerge w:val="continue"/>
            <w:vAlign w:val="center"/>
          </w:tcPr>
          <w:p>
            <w:pPr>
              <w:spacing w:line="300" w:lineRule="exact"/>
              <w:ind w:firstLine="0" w:firstLineChars="0"/>
              <w:rPr>
                <w:rFonts w:eastAsia="方正仿宋简体" w:cs="Times New Roman"/>
                <w:sz w:val="21"/>
                <w:szCs w:val="21"/>
              </w:rPr>
            </w:pPr>
          </w:p>
        </w:tc>
        <w:tc>
          <w:tcPr>
            <w:tcW w:w="669"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阳东区全域人居雨污分流、污水处理工程</w:t>
            </w:r>
          </w:p>
        </w:tc>
        <w:tc>
          <w:tcPr>
            <w:tcW w:w="2340"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设计建设范围806条自然村雨污分流、污水处理，解决雨污分流、污水处理、巷道硬底化问题。</w:t>
            </w:r>
          </w:p>
        </w:tc>
        <w:tc>
          <w:tcPr>
            <w:tcW w:w="371" w:type="pct"/>
            <w:vAlign w:val="center"/>
          </w:tcPr>
          <w:p>
            <w:pPr>
              <w:spacing w:line="300" w:lineRule="exact"/>
              <w:ind w:firstLine="0" w:firstLineChars="0"/>
              <w:jc w:val="center"/>
              <w:rPr>
                <w:rFonts w:eastAsia="方正仿宋简体" w:cs="Times New Roman"/>
                <w:color w:val="0000FF"/>
                <w:sz w:val="21"/>
                <w:szCs w:val="21"/>
              </w:rPr>
            </w:pPr>
            <w:r>
              <w:rPr>
                <w:rFonts w:eastAsia="方正仿宋简体" w:cs="Times New Roman"/>
                <w:sz w:val="21"/>
                <w:szCs w:val="21"/>
              </w:rPr>
              <w:t>2022-2023</w:t>
            </w:r>
          </w:p>
        </w:tc>
        <w:tc>
          <w:tcPr>
            <w:tcW w:w="405"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100600</w:t>
            </w:r>
          </w:p>
        </w:tc>
        <w:tc>
          <w:tcPr>
            <w:tcW w:w="381"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区农业农村局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 w:type="pct"/>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10</w:t>
            </w:r>
          </w:p>
        </w:tc>
        <w:tc>
          <w:tcPr>
            <w:tcW w:w="222" w:type="pct"/>
            <w:vMerge w:val="continue"/>
            <w:vAlign w:val="center"/>
          </w:tcPr>
          <w:p>
            <w:pPr>
              <w:spacing w:line="300" w:lineRule="exact"/>
              <w:ind w:firstLine="0" w:firstLineChars="0"/>
              <w:rPr>
                <w:rFonts w:eastAsia="方正仿宋简体" w:cs="Times New Roman"/>
                <w:sz w:val="21"/>
                <w:szCs w:val="21"/>
              </w:rPr>
            </w:pPr>
          </w:p>
        </w:tc>
        <w:tc>
          <w:tcPr>
            <w:tcW w:w="464" w:type="pct"/>
            <w:vMerge w:val="continue"/>
            <w:vAlign w:val="center"/>
          </w:tcPr>
          <w:p>
            <w:pPr>
              <w:spacing w:line="300" w:lineRule="exact"/>
              <w:ind w:firstLine="0" w:firstLineChars="0"/>
              <w:rPr>
                <w:rFonts w:eastAsia="方正仿宋简体" w:cs="Times New Roman"/>
                <w:sz w:val="21"/>
                <w:szCs w:val="21"/>
              </w:rPr>
            </w:pPr>
          </w:p>
        </w:tc>
        <w:tc>
          <w:tcPr>
            <w:tcW w:w="669" w:type="pct"/>
            <w:vAlign w:val="center"/>
          </w:tcPr>
          <w:p>
            <w:pPr>
              <w:spacing w:line="300" w:lineRule="exact"/>
              <w:ind w:firstLine="0" w:firstLineChars="0"/>
              <w:rPr>
                <w:rFonts w:eastAsia="方正仿宋简体" w:cs="Times New Roman"/>
                <w:color w:val="0505D3"/>
                <w:sz w:val="21"/>
                <w:szCs w:val="21"/>
              </w:rPr>
            </w:pPr>
            <w:r>
              <w:rPr>
                <w:rFonts w:eastAsia="方正仿宋简体" w:cs="Times New Roman"/>
                <w:sz w:val="21"/>
                <w:szCs w:val="21"/>
              </w:rPr>
              <w:t>阳东区农村生活污水处理设施建设项目</w:t>
            </w:r>
          </w:p>
        </w:tc>
        <w:tc>
          <w:tcPr>
            <w:tcW w:w="2340" w:type="pct"/>
            <w:vAlign w:val="center"/>
          </w:tcPr>
          <w:p>
            <w:pPr>
              <w:spacing w:line="300" w:lineRule="exact"/>
              <w:ind w:firstLine="0" w:firstLineChars="0"/>
              <w:rPr>
                <w:rFonts w:eastAsia="方正仿宋简体" w:cs="Times New Roman"/>
                <w:color w:val="0505D3"/>
                <w:sz w:val="21"/>
                <w:szCs w:val="21"/>
              </w:rPr>
            </w:pPr>
            <w:r>
              <w:rPr>
                <w:rFonts w:eastAsia="方正仿宋简体" w:cs="Times New Roman"/>
                <w:sz w:val="21"/>
                <w:szCs w:val="21"/>
              </w:rPr>
              <w:t>在全区各个自然村建设雨污分流管网和污水池等污水处理设施。全区纳入农村污水处理设施建设规划的共1360条自然村。其中，2021年完成99条自然村的污水处理设施建设任务；到2022年底，计划完成累计738条自然村的污水处理设施建设任务；</w:t>
            </w:r>
            <w:r>
              <w:rPr>
                <w:rFonts w:hint="eastAsia" w:eastAsia="方正仿宋简体" w:cs="Times New Roman"/>
                <w:sz w:val="21"/>
                <w:szCs w:val="21"/>
              </w:rPr>
              <w:t>到2023年计划完成21条自然村的污水处理设施建设任务。到2024年底，计划完成120条自然村的农村生活污水治理任务；到2025年底，计划完成剩余未建设自然村的农村生活污水治理任务</w:t>
            </w:r>
            <w:r>
              <w:rPr>
                <w:rFonts w:eastAsia="方正仿宋简体" w:cs="Times New Roman"/>
                <w:sz w:val="21"/>
                <w:szCs w:val="21"/>
              </w:rPr>
              <w:t>。</w:t>
            </w:r>
          </w:p>
        </w:tc>
        <w:tc>
          <w:tcPr>
            <w:tcW w:w="371" w:type="pct"/>
            <w:vAlign w:val="center"/>
          </w:tcPr>
          <w:p>
            <w:pPr>
              <w:spacing w:line="300" w:lineRule="exact"/>
              <w:ind w:firstLine="0" w:firstLineChars="0"/>
              <w:jc w:val="center"/>
              <w:rPr>
                <w:rFonts w:eastAsia="方正仿宋简体" w:cs="Times New Roman"/>
                <w:color w:val="0505D3"/>
                <w:sz w:val="21"/>
                <w:szCs w:val="21"/>
              </w:rPr>
            </w:pPr>
            <w:r>
              <w:rPr>
                <w:rFonts w:hint="eastAsia" w:eastAsia="方正仿宋简体" w:cs="Times New Roman"/>
                <w:sz w:val="21"/>
                <w:szCs w:val="21"/>
              </w:rPr>
              <w:t>2021-2025</w:t>
            </w:r>
          </w:p>
        </w:tc>
        <w:tc>
          <w:tcPr>
            <w:tcW w:w="405" w:type="pct"/>
            <w:vAlign w:val="center"/>
          </w:tcPr>
          <w:p>
            <w:pPr>
              <w:spacing w:line="300" w:lineRule="exact"/>
              <w:ind w:firstLine="0" w:firstLineChars="0"/>
              <w:jc w:val="center"/>
              <w:rPr>
                <w:rFonts w:eastAsia="方正仿宋简体" w:cs="Times New Roman"/>
                <w:color w:val="0505D3"/>
                <w:sz w:val="21"/>
                <w:szCs w:val="21"/>
              </w:rPr>
            </w:pPr>
            <w:r>
              <w:rPr>
                <w:rFonts w:hint="eastAsia" w:eastAsia="方正仿宋简体" w:cs="Times New Roman"/>
                <w:sz w:val="21"/>
                <w:szCs w:val="21"/>
              </w:rPr>
              <w:t>76570</w:t>
            </w:r>
          </w:p>
        </w:tc>
        <w:tc>
          <w:tcPr>
            <w:tcW w:w="381" w:type="pct"/>
            <w:vAlign w:val="center"/>
          </w:tcPr>
          <w:p>
            <w:pPr>
              <w:spacing w:line="300" w:lineRule="exact"/>
              <w:ind w:firstLine="0" w:firstLineChars="0"/>
              <w:rPr>
                <w:rFonts w:eastAsia="方正仿宋简体" w:cs="Times New Roman"/>
                <w:color w:val="0505D3"/>
                <w:sz w:val="21"/>
                <w:szCs w:val="21"/>
              </w:rPr>
            </w:pPr>
            <w:r>
              <w:rPr>
                <w:rFonts w:eastAsia="方正仿宋简体" w:cs="Times New Roman"/>
                <w:sz w:val="21"/>
                <w:szCs w:val="21"/>
              </w:rPr>
              <w:t>区农业农村局，各相关镇政府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1</w:t>
            </w:r>
            <w:r>
              <w:rPr>
                <w:rFonts w:hint="eastAsia" w:eastAsia="方正仿宋简体" w:cs="Times New Roman"/>
                <w:sz w:val="21"/>
                <w:szCs w:val="21"/>
              </w:rPr>
              <w:t>1</w:t>
            </w:r>
          </w:p>
        </w:tc>
        <w:tc>
          <w:tcPr>
            <w:tcW w:w="222" w:type="pct"/>
            <w:vMerge w:val="continue"/>
            <w:vAlign w:val="center"/>
          </w:tcPr>
          <w:p>
            <w:pPr>
              <w:spacing w:line="300" w:lineRule="exact"/>
              <w:ind w:firstLine="0" w:firstLineChars="0"/>
              <w:rPr>
                <w:rFonts w:eastAsia="方正仿宋简体" w:cs="Times New Roman"/>
                <w:sz w:val="21"/>
                <w:szCs w:val="21"/>
              </w:rPr>
            </w:pPr>
          </w:p>
        </w:tc>
        <w:tc>
          <w:tcPr>
            <w:tcW w:w="464" w:type="pct"/>
            <w:vMerge w:val="continue"/>
            <w:vAlign w:val="center"/>
          </w:tcPr>
          <w:p>
            <w:pPr>
              <w:spacing w:line="300" w:lineRule="exact"/>
              <w:ind w:firstLine="0" w:firstLineChars="0"/>
              <w:rPr>
                <w:rFonts w:eastAsia="方正仿宋简体" w:cs="Times New Roman"/>
                <w:sz w:val="21"/>
                <w:szCs w:val="21"/>
              </w:rPr>
            </w:pPr>
          </w:p>
        </w:tc>
        <w:tc>
          <w:tcPr>
            <w:tcW w:w="669" w:type="pct"/>
            <w:vAlign w:val="center"/>
          </w:tcPr>
          <w:p>
            <w:pPr>
              <w:spacing w:line="300" w:lineRule="exact"/>
              <w:ind w:firstLine="0" w:firstLineChars="0"/>
              <w:rPr>
                <w:rFonts w:eastAsia="方正仿宋简体" w:cs="Times New Roman"/>
                <w:color w:val="0505D3"/>
                <w:sz w:val="21"/>
                <w:szCs w:val="21"/>
              </w:rPr>
            </w:pPr>
            <w:r>
              <w:rPr>
                <w:rFonts w:eastAsia="方正仿宋简体" w:cs="Times New Roman"/>
                <w:sz w:val="21"/>
                <w:szCs w:val="21"/>
              </w:rPr>
              <w:t>广东阳东经济开发区污水处理厂（三期）及配套管网基础设施建设工程</w:t>
            </w:r>
          </w:p>
        </w:tc>
        <w:tc>
          <w:tcPr>
            <w:tcW w:w="2340" w:type="pct"/>
            <w:vAlign w:val="center"/>
          </w:tcPr>
          <w:p>
            <w:pPr>
              <w:spacing w:line="300" w:lineRule="exact"/>
              <w:ind w:firstLine="0" w:firstLineChars="0"/>
              <w:rPr>
                <w:rFonts w:eastAsia="方正仿宋简体" w:cs="Times New Roman"/>
                <w:color w:val="0505D3"/>
                <w:sz w:val="21"/>
                <w:szCs w:val="21"/>
              </w:rPr>
            </w:pPr>
            <w:r>
              <w:rPr>
                <w:rFonts w:eastAsia="方正仿宋简体" w:cs="Times New Roman"/>
                <w:sz w:val="21"/>
                <w:szCs w:val="21"/>
              </w:rPr>
              <w:t>本项目纳污面积约为32.4km</w:t>
            </w:r>
            <w:r>
              <w:rPr>
                <w:rFonts w:eastAsia="方正仿宋简体" w:cs="Times New Roman"/>
                <w:sz w:val="21"/>
                <w:szCs w:val="21"/>
                <w:vertAlign w:val="superscript"/>
              </w:rPr>
              <w:t>2</w:t>
            </w:r>
            <w:r>
              <w:rPr>
                <w:rFonts w:eastAsia="方正仿宋简体" w:cs="Times New Roman"/>
                <w:sz w:val="21"/>
                <w:szCs w:val="21"/>
              </w:rPr>
              <w:t>，拟在阳东经济开发区进行污水管道建设和现状管道及设施的改造。项目计划新建DN400mm~DN1200mm 污水管约92.64km，预留住户接入管约80km，新建污水处理厂一座和一体化污水提升泵站2座，升级改造现状污水提升泵站2座，现状污水管道清淤长度约48.99km，现状污水管道修复长度约3.9km，现状排水渠覆盖约0.66km，建设排水渠挡土墙及护坡约1240米。</w:t>
            </w:r>
          </w:p>
        </w:tc>
        <w:tc>
          <w:tcPr>
            <w:tcW w:w="371" w:type="pct"/>
            <w:vAlign w:val="center"/>
          </w:tcPr>
          <w:p>
            <w:pPr>
              <w:spacing w:line="300" w:lineRule="exact"/>
              <w:ind w:firstLine="0" w:firstLineChars="0"/>
              <w:jc w:val="center"/>
              <w:rPr>
                <w:rFonts w:eastAsia="方正仿宋简体" w:cs="Times New Roman"/>
                <w:color w:val="0505D3"/>
                <w:sz w:val="21"/>
                <w:szCs w:val="21"/>
              </w:rPr>
            </w:pPr>
            <w:r>
              <w:rPr>
                <w:rFonts w:eastAsia="方正仿宋简体" w:cs="Times New Roman"/>
                <w:sz w:val="21"/>
                <w:szCs w:val="21"/>
              </w:rPr>
              <w:t>2022-2024</w:t>
            </w:r>
          </w:p>
        </w:tc>
        <w:tc>
          <w:tcPr>
            <w:tcW w:w="405" w:type="pct"/>
            <w:vAlign w:val="center"/>
          </w:tcPr>
          <w:p>
            <w:pPr>
              <w:spacing w:line="300" w:lineRule="exact"/>
              <w:ind w:firstLine="0" w:firstLineChars="0"/>
              <w:jc w:val="center"/>
              <w:rPr>
                <w:rFonts w:eastAsia="方正仿宋简体" w:cs="Times New Roman"/>
                <w:color w:val="0505D3"/>
                <w:sz w:val="21"/>
                <w:szCs w:val="21"/>
              </w:rPr>
            </w:pPr>
            <w:r>
              <w:rPr>
                <w:rFonts w:eastAsia="方正仿宋简体" w:cs="Times New Roman"/>
                <w:sz w:val="21"/>
                <w:szCs w:val="21"/>
              </w:rPr>
              <w:t>80000</w:t>
            </w:r>
          </w:p>
        </w:tc>
        <w:tc>
          <w:tcPr>
            <w:tcW w:w="381" w:type="pct"/>
            <w:vAlign w:val="center"/>
          </w:tcPr>
          <w:p>
            <w:pPr>
              <w:spacing w:line="300" w:lineRule="exact"/>
              <w:ind w:firstLine="0" w:firstLineChars="0"/>
              <w:rPr>
                <w:rFonts w:eastAsia="方正仿宋简体" w:cs="Times New Roman"/>
                <w:color w:val="0505D3"/>
                <w:sz w:val="21"/>
                <w:szCs w:val="21"/>
              </w:rPr>
            </w:pPr>
            <w:r>
              <w:rPr>
                <w:rFonts w:eastAsia="方正仿宋简体" w:cs="Times New Roman"/>
                <w:sz w:val="21"/>
                <w:szCs w:val="21"/>
              </w:rPr>
              <w:t>开发区管理局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5" w:hRule="atLeast"/>
          <w:jc w:val="center"/>
        </w:trPr>
        <w:tc>
          <w:tcPr>
            <w:tcW w:w="146"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1</w:t>
            </w:r>
            <w:r>
              <w:rPr>
                <w:rFonts w:hint="eastAsia" w:eastAsia="方正仿宋简体" w:cs="Times New Roman"/>
                <w:sz w:val="21"/>
                <w:szCs w:val="21"/>
              </w:rPr>
              <w:t>2</w:t>
            </w:r>
          </w:p>
        </w:tc>
        <w:tc>
          <w:tcPr>
            <w:tcW w:w="222" w:type="pct"/>
            <w:vMerge w:val="restart"/>
            <w:vAlign w:val="center"/>
          </w:tcPr>
          <w:p>
            <w:pPr>
              <w:spacing w:line="300" w:lineRule="exact"/>
              <w:ind w:firstLine="0" w:firstLineChars="0"/>
              <w:rPr>
                <w:rFonts w:eastAsia="方正仿宋简体" w:cs="Times New Roman"/>
                <w:b/>
                <w:sz w:val="21"/>
                <w:szCs w:val="21"/>
              </w:rPr>
            </w:pPr>
            <w:r>
              <w:rPr>
                <w:rFonts w:eastAsia="方正仿宋简体" w:cs="Times New Roman"/>
                <w:b/>
                <w:sz w:val="21"/>
                <w:szCs w:val="21"/>
              </w:rPr>
              <w:t>三、环保基础设施建设工程</w:t>
            </w:r>
          </w:p>
        </w:tc>
        <w:tc>
          <w:tcPr>
            <w:tcW w:w="464" w:type="pct"/>
            <w:vMerge w:val="restar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污水处理及管网建设工程</w:t>
            </w:r>
          </w:p>
        </w:tc>
        <w:tc>
          <w:tcPr>
            <w:tcW w:w="669"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阳东经济开发区污水管网建设工程项目（二期）</w:t>
            </w:r>
          </w:p>
        </w:tc>
        <w:tc>
          <w:tcPr>
            <w:tcW w:w="2340"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1、在阳东经济开发区内将未完成污水管道建设的道路，进行铺设D400--D1200污水管道116.1公里，建设提升泵站2座，对旧325国道（尚品珑湾段）部分明渠进行升级改造。建设位置主要有：兴平六路、兴平四路（霍达七路）、赤城八路、赤城六路、赤城东路、赤城五路、赤城四路、赤城三路、赤城一路、霍达八路、霍达四路、霍达三路、霍达一路、彭村路等49条路。</w:t>
            </w:r>
          </w:p>
          <w:p>
            <w:pPr>
              <w:spacing w:line="300" w:lineRule="exact"/>
              <w:ind w:firstLine="0" w:firstLineChars="0"/>
              <w:rPr>
                <w:rFonts w:eastAsia="方正仿宋简体" w:cs="Times New Roman"/>
                <w:sz w:val="21"/>
                <w:szCs w:val="21"/>
              </w:rPr>
            </w:pPr>
            <w:r>
              <w:rPr>
                <w:rFonts w:eastAsia="方正仿宋简体" w:cs="Times New Roman"/>
                <w:sz w:val="21"/>
                <w:szCs w:val="21"/>
              </w:rPr>
              <w:t>2、打石山工业园：（1）那霍大道、世纪大道、工业大道等12条路（南北走向），共12公里；（2）横一路、横二路、横三路3条路（东西走向），共7公里；</w:t>
            </w:r>
          </w:p>
          <w:p>
            <w:pPr>
              <w:spacing w:line="300" w:lineRule="exact"/>
              <w:ind w:firstLine="0" w:firstLineChars="0"/>
              <w:rPr>
                <w:rFonts w:eastAsia="方正仿宋简体" w:cs="Times New Roman"/>
                <w:sz w:val="21"/>
                <w:szCs w:val="21"/>
              </w:rPr>
            </w:pPr>
            <w:r>
              <w:rPr>
                <w:rFonts w:eastAsia="方正仿宋简体" w:cs="Times New Roman"/>
                <w:sz w:val="21"/>
                <w:szCs w:val="21"/>
              </w:rPr>
              <w:t>3、龙头山工业园：（1）那金五路、金田一路、金田二路等13条路（南北走向），共9公里；（2）霍达三路、霍达四路2条路（东西走向），共6公里。</w:t>
            </w:r>
          </w:p>
        </w:tc>
        <w:tc>
          <w:tcPr>
            <w:tcW w:w="371"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2022-2024</w:t>
            </w:r>
          </w:p>
        </w:tc>
        <w:tc>
          <w:tcPr>
            <w:tcW w:w="405"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56800</w:t>
            </w:r>
          </w:p>
        </w:tc>
        <w:tc>
          <w:tcPr>
            <w:tcW w:w="381"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开发区管理局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 w:type="pct"/>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13</w:t>
            </w:r>
          </w:p>
        </w:tc>
        <w:tc>
          <w:tcPr>
            <w:tcW w:w="222" w:type="pct"/>
            <w:vMerge w:val="continue"/>
            <w:vAlign w:val="center"/>
          </w:tcPr>
          <w:p>
            <w:pPr>
              <w:spacing w:line="300" w:lineRule="exact"/>
              <w:ind w:firstLine="0" w:firstLineChars="0"/>
              <w:rPr>
                <w:rFonts w:eastAsia="方正仿宋简体" w:cs="Times New Roman"/>
                <w:sz w:val="21"/>
                <w:szCs w:val="21"/>
              </w:rPr>
            </w:pPr>
          </w:p>
        </w:tc>
        <w:tc>
          <w:tcPr>
            <w:tcW w:w="464" w:type="pct"/>
            <w:vMerge w:val="continue"/>
            <w:vAlign w:val="center"/>
          </w:tcPr>
          <w:p>
            <w:pPr>
              <w:spacing w:line="300" w:lineRule="exact"/>
              <w:ind w:firstLine="0" w:firstLineChars="0"/>
              <w:rPr>
                <w:rFonts w:eastAsia="方正仿宋简体" w:cs="Times New Roman"/>
                <w:sz w:val="21"/>
                <w:szCs w:val="21"/>
              </w:rPr>
            </w:pPr>
          </w:p>
        </w:tc>
        <w:tc>
          <w:tcPr>
            <w:tcW w:w="669"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五金刀剪示范园至2#泵站截污管道工程</w:t>
            </w:r>
          </w:p>
        </w:tc>
        <w:tc>
          <w:tcPr>
            <w:tcW w:w="2340"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管道总长为3640米，铺设管径DN1200。</w:t>
            </w:r>
          </w:p>
        </w:tc>
        <w:tc>
          <w:tcPr>
            <w:tcW w:w="371"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2021-2022</w:t>
            </w:r>
          </w:p>
        </w:tc>
        <w:tc>
          <w:tcPr>
            <w:tcW w:w="405"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2800</w:t>
            </w:r>
          </w:p>
        </w:tc>
        <w:tc>
          <w:tcPr>
            <w:tcW w:w="381"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开发区管理局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 w:type="pct"/>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14</w:t>
            </w:r>
          </w:p>
        </w:tc>
        <w:tc>
          <w:tcPr>
            <w:tcW w:w="222" w:type="pct"/>
            <w:vMerge w:val="continue"/>
            <w:vAlign w:val="center"/>
          </w:tcPr>
          <w:p>
            <w:pPr>
              <w:spacing w:line="300" w:lineRule="exact"/>
              <w:ind w:firstLine="0" w:firstLineChars="0"/>
              <w:rPr>
                <w:rFonts w:eastAsia="方正仿宋简体" w:cs="Times New Roman"/>
                <w:sz w:val="21"/>
                <w:szCs w:val="21"/>
              </w:rPr>
            </w:pPr>
          </w:p>
        </w:tc>
        <w:tc>
          <w:tcPr>
            <w:tcW w:w="464" w:type="pct"/>
            <w:vMerge w:val="restar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固废处理设施建设工程</w:t>
            </w:r>
          </w:p>
        </w:tc>
        <w:tc>
          <w:tcPr>
            <w:tcW w:w="669" w:type="pct"/>
            <w:vAlign w:val="center"/>
          </w:tcPr>
          <w:p>
            <w:pPr>
              <w:spacing w:line="300" w:lineRule="exact"/>
              <w:ind w:firstLine="0" w:firstLineChars="0"/>
              <w:rPr>
                <w:rFonts w:eastAsia="方正仿宋简体" w:cs="Times New Roman"/>
                <w:color w:val="FF0000"/>
                <w:sz w:val="21"/>
                <w:szCs w:val="21"/>
              </w:rPr>
            </w:pPr>
            <w:r>
              <w:rPr>
                <w:rFonts w:eastAsia="方正仿宋简体" w:cs="Times New Roman"/>
                <w:sz w:val="21"/>
                <w:szCs w:val="21"/>
              </w:rPr>
              <w:t>阳东区10个镇中转站新建或升级改造建设项目</w:t>
            </w:r>
          </w:p>
        </w:tc>
        <w:tc>
          <w:tcPr>
            <w:tcW w:w="2340" w:type="pct"/>
            <w:vAlign w:val="center"/>
          </w:tcPr>
          <w:p>
            <w:pPr>
              <w:spacing w:line="300" w:lineRule="exact"/>
              <w:ind w:firstLine="0" w:firstLineChars="0"/>
              <w:rPr>
                <w:rFonts w:eastAsia="方正仿宋简体" w:cs="Times New Roman"/>
                <w:color w:val="0505D3"/>
                <w:sz w:val="21"/>
                <w:szCs w:val="21"/>
              </w:rPr>
            </w:pPr>
            <w:r>
              <w:rPr>
                <w:rFonts w:eastAsia="方正仿宋简体" w:cs="Times New Roman"/>
                <w:sz w:val="21"/>
                <w:szCs w:val="21"/>
              </w:rPr>
              <w:t>对北惯、合山、那龙、雅韶、大沟、新洲、东平、红丰、塘坪、大八镇共10个镇垃圾中转站进行新建或升级改造，10个镇垃圾中转站设计采用分体式水平直接压缩式工艺，设计日转运能力440吨/天。</w:t>
            </w:r>
          </w:p>
        </w:tc>
        <w:tc>
          <w:tcPr>
            <w:tcW w:w="371" w:type="pct"/>
            <w:vAlign w:val="center"/>
          </w:tcPr>
          <w:p>
            <w:pPr>
              <w:spacing w:line="300" w:lineRule="exact"/>
              <w:ind w:firstLine="0" w:firstLineChars="0"/>
              <w:jc w:val="center"/>
              <w:rPr>
                <w:rFonts w:eastAsia="方正仿宋简体" w:cs="Times New Roman"/>
                <w:color w:val="0505D3"/>
                <w:sz w:val="21"/>
                <w:szCs w:val="21"/>
              </w:rPr>
            </w:pPr>
            <w:r>
              <w:rPr>
                <w:rFonts w:eastAsia="方正仿宋简体" w:cs="Times New Roman"/>
                <w:sz w:val="21"/>
                <w:szCs w:val="21"/>
              </w:rPr>
              <w:t>2022-2025</w:t>
            </w:r>
          </w:p>
        </w:tc>
        <w:tc>
          <w:tcPr>
            <w:tcW w:w="405" w:type="pct"/>
            <w:vAlign w:val="center"/>
          </w:tcPr>
          <w:p>
            <w:pPr>
              <w:spacing w:line="300" w:lineRule="exact"/>
              <w:ind w:firstLine="0" w:firstLineChars="0"/>
              <w:jc w:val="center"/>
              <w:rPr>
                <w:rFonts w:eastAsia="方正仿宋简体" w:cs="Times New Roman"/>
                <w:color w:val="0505D3"/>
                <w:sz w:val="21"/>
                <w:szCs w:val="21"/>
              </w:rPr>
            </w:pPr>
            <w:r>
              <w:rPr>
                <w:rFonts w:eastAsia="方正仿宋简体" w:cs="Times New Roman"/>
                <w:sz w:val="21"/>
                <w:szCs w:val="21"/>
              </w:rPr>
              <w:t>8526</w:t>
            </w:r>
          </w:p>
        </w:tc>
        <w:tc>
          <w:tcPr>
            <w:tcW w:w="381" w:type="pct"/>
            <w:vAlign w:val="center"/>
          </w:tcPr>
          <w:p>
            <w:pPr>
              <w:spacing w:line="300" w:lineRule="exact"/>
              <w:ind w:firstLine="0" w:firstLineChars="0"/>
              <w:rPr>
                <w:rFonts w:eastAsia="方正仿宋简体" w:cs="Times New Roman"/>
                <w:color w:val="0505D3"/>
                <w:sz w:val="21"/>
                <w:szCs w:val="21"/>
              </w:rPr>
            </w:pPr>
            <w:r>
              <w:rPr>
                <w:rFonts w:eastAsia="方正仿宋简体" w:cs="Times New Roman"/>
                <w:sz w:val="21"/>
                <w:szCs w:val="21"/>
              </w:rPr>
              <w:t>区住建局（相关镇政府）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 w:type="pct"/>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15</w:t>
            </w:r>
          </w:p>
        </w:tc>
        <w:tc>
          <w:tcPr>
            <w:tcW w:w="222" w:type="pct"/>
            <w:vMerge w:val="continue"/>
            <w:vAlign w:val="center"/>
          </w:tcPr>
          <w:p>
            <w:pPr>
              <w:spacing w:line="300" w:lineRule="exact"/>
              <w:ind w:firstLine="0" w:firstLineChars="0"/>
              <w:rPr>
                <w:rFonts w:eastAsia="方正仿宋简体" w:cs="Times New Roman"/>
                <w:sz w:val="21"/>
                <w:szCs w:val="21"/>
              </w:rPr>
            </w:pPr>
          </w:p>
        </w:tc>
        <w:tc>
          <w:tcPr>
            <w:tcW w:w="464" w:type="pct"/>
            <w:vMerge w:val="continue"/>
            <w:vAlign w:val="center"/>
          </w:tcPr>
          <w:p>
            <w:pPr>
              <w:spacing w:line="300" w:lineRule="exact"/>
              <w:ind w:firstLine="0" w:firstLineChars="0"/>
              <w:rPr>
                <w:rFonts w:eastAsia="方正仿宋简体" w:cs="Times New Roman"/>
                <w:sz w:val="21"/>
                <w:szCs w:val="21"/>
              </w:rPr>
            </w:pPr>
          </w:p>
        </w:tc>
        <w:tc>
          <w:tcPr>
            <w:tcW w:w="669" w:type="pct"/>
            <w:vAlign w:val="center"/>
          </w:tcPr>
          <w:p>
            <w:pPr>
              <w:spacing w:line="300" w:lineRule="exact"/>
              <w:ind w:firstLine="0" w:firstLineChars="0"/>
              <w:rPr>
                <w:rFonts w:eastAsia="方正仿宋简体" w:cs="Times New Roman"/>
                <w:color w:val="0505D3"/>
                <w:sz w:val="21"/>
                <w:szCs w:val="21"/>
              </w:rPr>
            </w:pPr>
            <w:r>
              <w:rPr>
                <w:rFonts w:eastAsia="方正仿宋简体" w:cs="Times New Roman"/>
                <w:kern w:val="0"/>
                <w:sz w:val="21"/>
                <w:szCs w:val="21"/>
              </w:rPr>
              <w:t>阳东城区垃圾分类建设项目</w:t>
            </w:r>
          </w:p>
        </w:tc>
        <w:tc>
          <w:tcPr>
            <w:tcW w:w="2340" w:type="pct"/>
            <w:vAlign w:val="center"/>
          </w:tcPr>
          <w:p>
            <w:pPr>
              <w:spacing w:line="300" w:lineRule="exact"/>
              <w:ind w:firstLine="0" w:firstLineChars="0"/>
              <w:rPr>
                <w:rFonts w:eastAsia="方正仿宋简体" w:cs="Times New Roman"/>
                <w:color w:val="0505D3"/>
                <w:sz w:val="21"/>
                <w:szCs w:val="21"/>
              </w:rPr>
            </w:pPr>
            <w:r>
              <w:rPr>
                <w:rFonts w:hint="eastAsia" w:eastAsia="方正仿宋简体" w:cs="Times New Roman"/>
                <w:sz w:val="21"/>
                <w:szCs w:val="21"/>
              </w:rPr>
              <w:t>建设内容主要是打造示范小区、示范学校、示范机关，拟建设70座垃圾分类屋。</w:t>
            </w:r>
          </w:p>
        </w:tc>
        <w:tc>
          <w:tcPr>
            <w:tcW w:w="371" w:type="pct"/>
            <w:vAlign w:val="center"/>
          </w:tcPr>
          <w:p>
            <w:pPr>
              <w:spacing w:line="300" w:lineRule="exact"/>
              <w:ind w:firstLine="0" w:firstLineChars="0"/>
              <w:jc w:val="center"/>
              <w:rPr>
                <w:rFonts w:eastAsia="方正仿宋简体" w:cs="Times New Roman"/>
                <w:color w:val="0505D3"/>
                <w:sz w:val="21"/>
                <w:szCs w:val="21"/>
              </w:rPr>
            </w:pPr>
            <w:r>
              <w:rPr>
                <w:rFonts w:hint="eastAsia" w:eastAsia="方正仿宋简体" w:cs="Times New Roman"/>
                <w:sz w:val="21"/>
                <w:szCs w:val="21"/>
              </w:rPr>
              <w:t>2023-2025</w:t>
            </w:r>
          </w:p>
        </w:tc>
        <w:tc>
          <w:tcPr>
            <w:tcW w:w="405" w:type="pct"/>
            <w:vAlign w:val="center"/>
          </w:tcPr>
          <w:p>
            <w:pPr>
              <w:spacing w:line="300" w:lineRule="exact"/>
              <w:ind w:firstLine="0" w:firstLineChars="0"/>
              <w:jc w:val="center"/>
              <w:rPr>
                <w:rFonts w:eastAsia="方正仿宋简体" w:cs="Times New Roman"/>
                <w:color w:val="0505D3"/>
                <w:sz w:val="21"/>
                <w:szCs w:val="21"/>
              </w:rPr>
            </w:pPr>
            <w:r>
              <w:rPr>
                <w:rFonts w:hint="eastAsia" w:eastAsia="方正仿宋简体" w:cs="Times New Roman"/>
                <w:sz w:val="21"/>
                <w:szCs w:val="21"/>
              </w:rPr>
              <w:t>500</w:t>
            </w:r>
          </w:p>
        </w:tc>
        <w:tc>
          <w:tcPr>
            <w:tcW w:w="381" w:type="pct"/>
            <w:vAlign w:val="center"/>
          </w:tcPr>
          <w:p>
            <w:pPr>
              <w:spacing w:line="300" w:lineRule="exact"/>
              <w:ind w:firstLine="0" w:firstLineChars="0"/>
              <w:rPr>
                <w:rFonts w:eastAsia="方正仿宋简体" w:cs="Times New Roman"/>
                <w:color w:val="0505D3"/>
                <w:sz w:val="21"/>
                <w:szCs w:val="21"/>
              </w:rPr>
            </w:pPr>
            <w:r>
              <w:rPr>
                <w:rFonts w:eastAsia="方正仿宋简体" w:cs="Times New Roman"/>
                <w:kern w:val="0"/>
                <w:sz w:val="21"/>
                <w:szCs w:val="21"/>
              </w:rPr>
              <w:t>区城管综合执法局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146" w:type="pct"/>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16</w:t>
            </w:r>
          </w:p>
        </w:tc>
        <w:tc>
          <w:tcPr>
            <w:tcW w:w="222" w:type="pct"/>
            <w:vMerge w:val="continue"/>
            <w:vAlign w:val="center"/>
          </w:tcPr>
          <w:p>
            <w:pPr>
              <w:spacing w:line="300" w:lineRule="exact"/>
              <w:ind w:firstLine="0" w:firstLineChars="0"/>
              <w:rPr>
                <w:rFonts w:eastAsia="方正仿宋简体" w:cs="Times New Roman"/>
                <w:sz w:val="21"/>
                <w:szCs w:val="21"/>
              </w:rPr>
            </w:pPr>
          </w:p>
        </w:tc>
        <w:tc>
          <w:tcPr>
            <w:tcW w:w="464" w:type="pct"/>
            <w:vMerge w:val="continue"/>
            <w:vAlign w:val="center"/>
          </w:tcPr>
          <w:p>
            <w:pPr>
              <w:spacing w:line="300" w:lineRule="exact"/>
              <w:ind w:firstLine="0" w:firstLineChars="0"/>
              <w:rPr>
                <w:rFonts w:eastAsia="方正仿宋简体" w:cs="Times New Roman"/>
                <w:sz w:val="21"/>
                <w:szCs w:val="21"/>
              </w:rPr>
            </w:pPr>
          </w:p>
        </w:tc>
        <w:tc>
          <w:tcPr>
            <w:tcW w:w="669" w:type="pct"/>
            <w:vAlign w:val="center"/>
          </w:tcPr>
          <w:p>
            <w:pPr>
              <w:spacing w:line="300" w:lineRule="exact"/>
              <w:ind w:firstLine="0" w:firstLineChars="0"/>
              <w:rPr>
                <w:rFonts w:eastAsia="方正仿宋简体" w:cs="Times New Roman"/>
                <w:kern w:val="0"/>
                <w:sz w:val="21"/>
                <w:szCs w:val="21"/>
              </w:rPr>
            </w:pPr>
            <w:r>
              <w:rPr>
                <w:rFonts w:eastAsia="方正仿宋简体" w:cs="Times New Roman"/>
                <w:kern w:val="0"/>
                <w:sz w:val="21"/>
                <w:szCs w:val="21"/>
              </w:rPr>
              <w:t>阳江市阳东区固体废物利用处置项目</w:t>
            </w:r>
          </w:p>
        </w:tc>
        <w:tc>
          <w:tcPr>
            <w:tcW w:w="2340" w:type="pct"/>
            <w:vAlign w:val="center"/>
          </w:tcPr>
          <w:p>
            <w:pPr>
              <w:spacing w:line="300" w:lineRule="exact"/>
              <w:ind w:firstLine="0" w:firstLineChars="0"/>
              <w:rPr>
                <w:rFonts w:eastAsia="方正仿宋简体" w:cs="Times New Roman"/>
                <w:kern w:val="0"/>
                <w:sz w:val="21"/>
                <w:szCs w:val="21"/>
              </w:rPr>
            </w:pPr>
            <w:r>
              <w:rPr>
                <w:rFonts w:eastAsia="方正仿宋简体" w:cs="Times New Roman"/>
                <w:kern w:val="0"/>
                <w:sz w:val="21"/>
                <w:szCs w:val="21"/>
              </w:rPr>
              <w:t>项目占地面积约320亩，建设内容及规模包括：工业及生活源危险废物利用处置11.6万吨/年，其中回转窑焚烧规模为30000吨/年，资源利用规模为20000吨/年，物化处理规模为33000吨/年，废日光灯管利用及处理规模为1000吨/年，刚性及柔性填埋场处置规模为32000吨/年；一般固废和市政污泥综合利用项目工程技改升级</w:t>
            </w:r>
            <w:r>
              <w:rPr>
                <w:rFonts w:hint="eastAsia" w:eastAsia="方正仿宋简体" w:cs="Times New Roman"/>
                <w:kern w:val="0"/>
                <w:sz w:val="21"/>
                <w:szCs w:val="21"/>
              </w:rPr>
              <w:t>，该项目由阳江龙善环保科技有限公司实施。</w:t>
            </w:r>
          </w:p>
        </w:tc>
        <w:tc>
          <w:tcPr>
            <w:tcW w:w="371" w:type="pct"/>
            <w:vAlign w:val="center"/>
          </w:tcPr>
          <w:p>
            <w:pPr>
              <w:spacing w:line="300" w:lineRule="exact"/>
              <w:ind w:firstLine="0" w:firstLineChars="0"/>
              <w:jc w:val="center"/>
              <w:rPr>
                <w:rFonts w:eastAsia="方正仿宋简体" w:cs="Times New Roman"/>
                <w:kern w:val="0"/>
                <w:sz w:val="21"/>
                <w:szCs w:val="21"/>
              </w:rPr>
            </w:pPr>
            <w:r>
              <w:rPr>
                <w:rFonts w:eastAsia="方正仿宋简体" w:cs="Times New Roman"/>
                <w:kern w:val="0"/>
                <w:sz w:val="21"/>
                <w:szCs w:val="21"/>
              </w:rPr>
              <w:t>2021-2025</w:t>
            </w:r>
          </w:p>
        </w:tc>
        <w:tc>
          <w:tcPr>
            <w:tcW w:w="405" w:type="pct"/>
            <w:vAlign w:val="center"/>
          </w:tcPr>
          <w:p>
            <w:pPr>
              <w:spacing w:line="300" w:lineRule="exact"/>
              <w:ind w:firstLine="0" w:firstLineChars="0"/>
              <w:jc w:val="center"/>
              <w:rPr>
                <w:rFonts w:eastAsia="方正仿宋简体" w:cs="Times New Roman"/>
                <w:kern w:val="0"/>
                <w:sz w:val="21"/>
                <w:szCs w:val="21"/>
              </w:rPr>
            </w:pPr>
            <w:r>
              <w:rPr>
                <w:rFonts w:eastAsia="方正仿宋简体" w:cs="Times New Roman"/>
                <w:kern w:val="0"/>
                <w:sz w:val="21"/>
                <w:szCs w:val="21"/>
              </w:rPr>
              <w:t>78000</w:t>
            </w:r>
          </w:p>
        </w:tc>
        <w:tc>
          <w:tcPr>
            <w:tcW w:w="381" w:type="pct"/>
            <w:vAlign w:val="center"/>
          </w:tcPr>
          <w:p>
            <w:pPr>
              <w:spacing w:line="300" w:lineRule="exact"/>
              <w:ind w:firstLine="0" w:firstLineChars="0"/>
              <w:rPr>
                <w:rFonts w:eastAsia="方正仿宋简体" w:cs="Times New Roman"/>
                <w:kern w:val="0"/>
                <w:sz w:val="21"/>
                <w:szCs w:val="21"/>
              </w:rPr>
            </w:pPr>
            <w:r>
              <w:rPr>
                <w:rFonts w:eastAsia="方正仿宋简体" w:cs="Times New Roman"/>
                <w:kern w:val="0"/>
                <w:sz w:val="21"/>
                <w:szCs w:val="21"/>
              </w:rPr>
              <w:t>市生态环境局阳东分局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01" w:hRule="atLeast"/>
          <w:jc w:val="center"/>
        </w:trPr>
        <w:tc>
          <w:tcPr>
            <w:tcW w:w="146" w:type="pct"/>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17</w:t>
            </w:r>
          </w:p>
        </w:tc>
        <w:tc>
          <w:tcPr>
            <w:tcW w:w="222" w:type="pct"/>
            <w:vMerge w:val="continue"/>
            <w:vAlign w:val="center"/>
          </w:tcPr>
          <w:p>
            <w:pPr>
              <w:spacing w:line="300" w:lineRule="exact"/>
              <w:ind w:firstLine="0" w:firstLineChars="0"/>
              <w:rPr>
                <w:rFonts w:eastAsia="方正仿宋简体" w:cs="Times New Roman"/>
                <w:sz w:val="21"/>
                <w:szCs w:val="21"/>
              </w:rPr>
            </w:pPr>
          </w:p>
        </w:tc>
        <w:tc>
          <w:tcPr>
            <w:tcW w:w="464" w:type="pct"/>
            <w:vMerge w:val="continue"/>
            <w:vAlign w:val="center"/>
          </w:tcPr>
          <w:p>
            <w:pPr>
              <w:spacing w:line="300" w:lineRule="exact"/>
              <w:ind w:firstLine="0" w:firstLineChars="0"/>
              <w:rPr>
                <w:rFonts w:eastAsia="方正仿宋简体" w:cs="Times New Roman"/>
                <w:sz w:val="21"/>
                <w:szCs w:val="21"/>
              </w:rPr>
            </w:pPr>
          </w:p>
        </w:tc>
        <w:tc>
          <w:tcPr>
            <w:tcW w:w="669" w:type="pct"/>
            <w:vAlign w:val="center"/>
          </w:tcPr>
          <w:p>
            <w:pPr>
              <w:spacing w:line="300" w:lineRule="exact"/>
              <w:ind w:firstLine="0" w:firstLineChars="0"/>
              <w:rPr>
                <w:rFonts w:eastAsia="方正仿宋简体" w:cs="Times New Roman"/>
                <w:color w:val="0505D3"/>
                <w:kern w:val="0"/>
                <w:sz w:val="21"/>
                <w:szCs w:val="21"/>
              </w:rPr>
            </w:pPr>
            <w:r>
              <w:rPr>
                <w:rFonts w:eastAsia="方正仿宋简体" w:cs="Times New Roman"/>
                <w:sz w:val="21"/>
                <w:szCs w:val="21"/>
              </w:rPr>
              <w:t>阳江市医疗废物焚烧处理项目二期工程（BOT）</w:t>
            </w:r>
          </w:p>
        </w:tc>
        <w:tc>
          <w:tcPr>
            <w:tcW w:w="2340" w:type="pct"/>
            <w:vAlign w:val="center"/>
          </w:tcPr>
          <w:p>
            <w:pPr>
              <w:spacing w:line="300" w:lineRule="exact"/>
              <w:ind w:firstLine="0" w:firstLineChars="0"/>
              <w:rPr>
                <w:rFonts w:eastAsia="方正仿宋简体" w:cs="Times New Roman"/>
                <w:color w:val="0505D3"/>
                <w:kern w:val="0"/>
                <w:sz w:val="21"/>
                <w:szCs w:val="21"/>
              </w:rPr>
            </w:pPr>
            <w:r>
              <w:rPr>
                <w:rFonts w:eastAsia="方正仿宋简体" w:cs="Times New Roman"/>
                <w:kern w:val="0"/>
                <w:sz w:val="21"/>
                <w:szCs w:val="21"/>
              </w:rPr>
              <w:t>阳江市医疗废物焚烧处理项目（BOT）建设二期生产线</w:t>
            </w:r>
          </w:p>
        </w:tc>
        <w:tc>
          <w:tcPr>
            <w:tcW w:w="371" w:type="pct"/>
            <w:vAlign w:val="center"/>
          </w:tcPr>
          <w:p>
            <w:pPr>
              <w:spacing w:line="300" w:lineRule="exact"/>
              <w:ind w:firstLine="0" w:firstLineChars="0"/>
              <w:jc w:val="center"/>
              <w:rPr>
                <w:rFonts w:eastAsia="方正仿宋简体" w:cs="Times New Roman"/>
                <w:color w:val="0505D3"/>
                <w:kern w:val="0"/>
                <w:sz w:val="21"/>
                <w:szCs w:val="21"/>
              </w:rPr>
            </w:pPr>
            <w:r>
              <w:rPr>
                <w:rFonts w:eastAsia="方正仿宋简体" w:cs="Times New Roman"/>
                <w:sz w:val="21"/>
                <w:szCs w:val="21"/>
              </w:rPr>
              <w:t>2023-2025</w:t>
            </w:r>
          </w:p>
        </w:tc>
        <w:tc>
          <w:tcPr>
            <w:tcW w:w="405" w:type="pct"/>
            <w:vAlign w:val="center"/>
          </w:tcPr>
          <w:p>
            <w:pPr>
              <w:spacing w:line="300" w:lineRule="exact"/>
              <w:ind w:firstLine="0" w:firstLineChars="0"/>
              <w:jc w:val="center"/>
              <w:rPr>
                <w:rFonts w:eastAsia="方正仿宋简体" w:cs="Times New Roman"/>
                <w:color w:val="0505D3"/>
                <w:kern w:val="0"/>
                <w:sz w:val="21"/>
                <w:szCs w:val="21"/>
              </w:rPr>
            </w:pPr>
            <w:r>
              <w:rPr>
                <w:rFonts w:eastAsia="方正仿宋简体" w:cs="Times New Roman"/>
                <w:sz w:val="21"/>
                <w:szCs w:val="21"/>
              </w:rPr>
              <w:t>1000</w:t>
            </w:r>
          </w:p>
        </w:tc>
        <w:tc>
          <w:tcPr>
            <w:tcW w:w="381" w:type="pct"/>
            <w:vAlign w:val="center"/>
          </w:tcPr>
          <w:p>
            <w:pPr>
              <w:spacing w:line="300" w:lineRule="exact"/>
              <w:ind w:firstLine="0" w:firstLineChars="0"/>
              <w:rPr>
                <w:rFonts w:eastAsia="方正仿宋简体" w:cs="Times New Roman"/>
                <w:color w:val="0505D3"/>
                <w:kern w:val="0"/>
                <w:sz w:val="21"/>
                <w:szCs w:val="21"/>
              </w:rPr>
            </w:pPr>
            <w:r>
              <w:rPr>
                <w:rFonts w:eastAsia="方正仿宋简体" w:cs="Times New Roman"/>
                <w:kern w:val="0"/>
                <w:sz w:val="21"/>
                <w:szCs w:val="21"/>
              </w:rPr>
              <w:t>区城管综合执法局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44" w:hRule="atLeast"/>
          <w:jc w:val="center"/>
        </w:trPr>
        <w:tc>
          <w:tcPr>
            <w:tcW w:w="146" w:type="pct"/>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18</w:t>
            </w:r>
          </w:p>
        </w:tc>
        <w:tc>
          <w:tcPr>
            <w:tcW w:w="222" w:type="pct"/>
            <w:vMerge w:val="restart"/>
            <w:vAlign w:val="center"/>
          </w:tcPr>
          <w:p>
            <w:pPr>
              <w:spacing w:line="300" w:lineRule="exact"/>
              <w:ind w:firstLine="0" w:firstLineChars="0"/>
              <w:rPr>
                <w:rFonts w:eastAsia="方正仿宋简体" w:cs="Times New Roman"/>
                <w:b/>
                <w:sz w:val="21"/>
                <w:szCs w:val="21"/>
              </w:rPr>
            </w:pPr>
            <w:r>
              <w:rPr>
                <w:rFonts w:eastAsia="方正仿宋简体" w:cs="Times New Roman"/>
                <w:b/>
                <w:sz w:val="21"/>
                <w:szCs w:val="21"/>
              </w:rPr>
              <w:t>四、生态环境基础能力建设工程</w:t>
            </w:r>
          </w:p>
        </w:tc>
        <w:tc>
          <w:tcPr>
            <w:tcW w:w="464" w:type="pct"/>
            <w:vMerge w:val="restar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环境风险及应急管控工程</w:t>
            </w:r>
          </w:p>
        </w:tc>
        <w:tc>
          <w:tcPr>
            <w:tcW w:w="669"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阳江核电站核应急固定洗消点和核应急现场指挥所建设</w:t>
            </w:r>
          </w:p>
        </w:tc>
        <w:tc>
          <w:tcPr>
            <w:tcW w:w="2340"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在阳江核电站核应急撤离路线西线（大沟三丫村委会X566县道东边，与阳江核电站直线距离为11公里），建设固定去污洗消点和现场指挥所，项目占地面积12000平方米，建筑面积1000平方米。</w:t>
            </w:r>
          </w:p>
        </w:tc>
        <w:tc>
          <w:tcPr>
            <w:tcW w:w="371"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2021-2025</w:t>
            </w:r>
          </w:p>
        </w:tc>
        <w:tc>
          <w:tcPr>
            <w:tcW w:w="405"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2500</w:t>
            </w:r>
          </w:p>
        </w:tc>
        <w:tc>
          <w:tcPr>
            <w:tcW w:w="381" w:type="pct"/>
            <w:vAlign w:val="center"/>
          </w:tcPr>
          <w:p>
            <w:pPr>
              <w:spacing w:line="300" w:lineRule="exact"/>
              <w:ind w:firstLine="0" w:firstLineChars="0"/>
              <w:rPr>
                <w:rFonts w:eastAsia="方正仿宋简体" w:cs="Times New Roman"/>
                <w:sz w:val="21"/>
                <w:szCs w:val="21"/>
              </w:rPr>
            </w:pPr>
            <w:r>
              <w:rPr>
                <w:rFonts w:eastAsia="方正仿宋简体" w:cs="Times New Roman"/>
                <w:kern w:val="0"/>
                <w:sz w:val="21"/>
                <w:szCs w:val="21"/>
              </w:rPr>
              <w:t>市生态环境局阳东分局、大沟镇政府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6" w:hRule="atLeast"/>
          <w:jc w:val="center"/>
        </w:trPr>
        <w:tc>
          <w:tcPr>
            <w:tcW w:w="146" w:type="pct"/>
            <w:vAlign w:val="center"/>
          </w:tcPr>
          <w:p>
            <w:pPr>
              <w:spacing w:line="300" w:lineRule="exact"/>
              <w:ind w:firstLine="0" w:firstLineChars="0"/>
              <w:jc w:val="center"/>
              <w:rPr>
                <w:rFonts w:eastAsia="方正仿宋简体" w:cs="Times New Roman"/>
                <w:sz w:val="21"/>
                <w:szCs w:val="21"/>
              </w:rPr>
            </w:pPr>
            <w:r>
              <w:rPr>
                <w:rFonts w:hint="eastAsia" w:eastAsia="方正仿宋简体" w:cs="Times New Roman"/>
                <w:sz w:val="21"/>
                <w:szCs w:val="21"/>
              </w:rPr>
              <w:t>19</w:t>
            </w:r>
          </w:p>
        </w:tc>
        <w:tc>
          <w:tcPr>
            <w:tcW w:w="222" w:type="pct"/>
            <w:vMerge w:val="continue"/>
            <w:vAlign w:val="center"/>
          </w:tcPr>
          <w:p>
            <w:pPr>
              <w:spacing w:line="300" w:lineRule="exact"/>
              <w:ind w:firstLine="0" w:firstLineChars="0"/>
              <w:rPr>
                <w:rFonts w:eastAsia="方正仿宋简体" w:cs="Times New Roman"/>
                <w:sz w:val="21"/>
                <w:szCs w:val="21"/>
              </w:rPr>
            </w:pPr>
          </w:p>
        </w:tc>
        <w:tc>
          <w:tcPr>
            <w:tcW w:w="464" w:type="pct"/>
            <w:vMerge w:val="continue"/>
            <w:vAlign w:val="center"/>
          </w:tcPr>
          <w:p>
            <w:pPr>
              <w:spacing w:line="300" w:lineRule="exact"/>
              <w:ind w:firstLine="0" w:firstLineChars="0"/>
              <w:rPr>
                <w:rFonts w:eastAsia="方正仿宋简体" w:cs="Times New Roman"/>
                <w:sz w:val="21"/>
                <w:szCs w:val="21"/>
              </w:rPr>
            </w:pPr>
          </w:p>
        </w:tc>
        <w:tc>
          <w:tcPr>
            <w:tcW w:w="669"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医疗辐照源制备及回收设施建设项目</w:t>
            </w:r>
          </w:p>
        </w:tc>
        <w:tc>
          <w:tcPr>
            <w:tcW w:w="2340"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本项目拟建设地点位于阳东区东平镇，建设内容包括：（1）辐照源（Co-60等）生产线；（2）医疗废旧源、回收设施；（3）相关医疗卫生公共服务的技术支持。建筑面积约6500平方米，占地面积约4000平方米。</w:t>
            </w:r>
          </w:p>
        </w:tc>
        <w:tc>
          <w:tcPr>
            <w:tcW w:w="371"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2020-2023</w:t>
            </w:r>
          </w:p>
        </w:tc>
        <w:tc>
          <w:tcPr>
            <w:tcW w:w="405" w:type="pct"/>
            <w:vAlign w:val="center"/>
          </w:tcPr>
          <w:p>
            <w:pPr>
              <w:spacing w:line="300" w:lineRule="exact"/>
              <w:ind w:firstLine="0" w:firstLineChars="0"/>
              <w:jc w:val="center"/>
              <w:rPr>
                <w:rFonts w:eastAsia="方正仿宋简体" w:cs="Times New Roman"/>
                <w:sz w:val="21"/>
                <w:szCs w:val="21"/>
              </w:rPr>
            </w:pPr>
            <w:r>
              <w:rPr>
                <w:rFonts w:eastAsia="方正仿宋简体" w:cs="Times New Roman"/>
                <w:sz w:val="21"/>
                <w:szCs w:val="21"/>
              </w:rPr>
              <w:t>18000</w:t>
            </w:r>
          </w:p>
        </w:tc>
        <w:tc>
          <w:tcPr>
            <w:tcW w:w="381" w:type="pct"/>
            <w:vAlign w:val="center"/>
          </w:tcPr>
          <w:p>
            <w:pPr>
              <w:spacing w:line="300" w:lineRule="exact"/>
              <w:ind w:firstLine="0" w:firstLineChars="0"/>
              <w:rPr>
                <w:rFonts w:eastAsia="方正仿宋简体" w:cs="Times New Roman"/>
                <w:sz w:val="21"/>
                <w:szCs w:val="21"/>
              </w:rPr>
            </w:pPr>
            <w:r>
              <w:rPr>
                <w:rFonts w:eastAsia="方正仿宋简体" w:cs="Times New Roman"/>
                <w:sz w:val="21"/>
                <w:szCs w:val="21"/>
              </w:rPr>
              <w:t>东平镇政府（中广核研究院有限公司）</w:t>
            </w:r>
          </w:p>
        </w:tc>
      </w:tr>
    </w:tbl>
    <w:p>
      <w:pPr>
        <w:ind w:firstLine="640"/>
        <w:sectPr>
          <w:pgSz w:w="16838" w:h="11906" w:orient="landscape"/>
          <w:pgMar w:top="851" w:right="567" w:bottom="851" w:left="567" w:header="851" w:footer="992" w:gutter="0"/>
          <w:cols w:space="425" w:num="1"/>
          <w:docGrid w:type="lines" w:linePitch="312" w:charSpace="0"/>
        </w:sect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pStyle w:val="2"/>
        <w:ind w:firstLine="0" w:firstLineChars="0"/>
        <w:rPr>
          <w:rFonts w:eastAsia="方正仿宋简体"/>
          <w:szCs w:val="28"/>
        </w:rPr>
      </w:pPr>
    </w:p>
    <w:p>
      <w:pPr>
        <w:adjustRightInd w:val="0"/>
        <w:snapToGrid w:val="0"/>
        <w:spacing w:line="570" w:lineRule="exact"/>
        <w:ind w:firstLine="640"/>
        <w:rPr>
          <w:rFonts w:eastAsia="方正仿宋简体"/>
          <w:szCs w:val="28"/>
        </w:rPr>
      </w:pPr>
      <w:r>
        <w:rPr>
          <w:rFonts w:hint="eastAsia" w:eastAsia="黑体"/>
          <w:szCs w:val="28"/>
        </w:rPr>
        <w:t>公开方式：</w:t>
      </w:r>
      <w:r>
        <w:rPr>
          <w:rFonts w:hint="eastAsia" w:eastAsia="方正仿宋简体"/>
          <w:szCs w:val="28"/>
        </w:rPr>
        <w:t>主动公开</w:t>
      </w:r>
    </w:p>
    <w:p>
      <w:pPr>
        <w:adjustRightInd w:val="0"/>
        <w:snapToGrid w:val="0"/>
        <w:spacing w:line="570" w:lineRule="exact"/>
        <w:ind w:firstLine="320" w:firstLineChars="100"/>
        <w:rPr>
          <w:rFonts w:eastAsia="黑体" w:cs="Arial"/>
          <w:szCs w:val="32"/>
        </w:rPr>
      </w:pPr>
    </w:p>
    <w:p>
      <w:pPr>
        <w:adjustRightInd w:val="0"/>
        <w:snapToGrid w:val="0"/>
        <w:spacing w:line="400" w:lineRule="exact"/>
        <w:ind w:left="1600" w:leftChars="100" w:hanging="1280" w:hangingChars="400"/>
        <w:rPr>
          <w:rFonts w:eastAsia="方正仿宋简体"/>
          <w:color w:val="000000"/>
          <w:sz w:val="28"/>
          <w:szCs w:val="28"/>
        </w:rPr>
      </w:pPr>
      <w: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-1270</wp:posOffset>
                </wp:positionV>
                <wp:extent cx="5715000" cy="0"/>
                <wp:effectExtent l="0" t="0" r="19050" b="19050"/>
                <wp:wrapNone/>
                <wp:docPr id="40" name="直接连接符 40"/>
                <wp:cNvGraphicFramePr/>
                <a:graphic xmlns:a="http://schemas.openxmlformats.org/drawingml/2006/main">
                  <a:graphicData uri="http://schemas.microsoft.com/office/word/2010/wordprocessingShape">
                    <wps:wsp>
                      <wps:cNvCnPr>
                        <a:cxnSpLocks noChangeShapeType="true"/>
                      </wps:cNvCnPr>
                      <wps:spPr bwMode="auto">
                        <a:xfrm>
                          <a:off x="0" y="0"/>
                          <a:ext cx="5715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0.1pt;height:0pt;width:450pt;z-index:251659264;mso-width-relative:page;mso-height-relative:page;" filled="f" stroked="t" coordsize="21600,21600" o:gfxdata="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FgAAAGRycy9QSwECFAAUAAAACACHTuJA9wEkXNEAAAAEAQAADwAAAAAA&#10;AAABACAAAAA4AAAAZHJzL2Rvd25yZXYueG1sUEsBAhQAFAAAAAgAh07iQAyiO3nLAQAAYQMAAA4A&#10;AAAAAAAAAQAgAAAANgEAAGRycy9lMm9Eb2MueG1sUEsFBgAAAAAGAAYAWQEAAHMFAAAAAA==&#10;">
                <v:fill on="f" focussize="0,0"/>
                <v:stroke color="#000000" joinstyle="round"/>
                <v:imagedata o:title=""/>
                <o:lock v:ext="edit" aspectratio="f"/>
              </v:line>
            </w:pict>
          </mc:Fallback>
        </mc:AlternateContent>
      </w:r>
      <w:r>
        <w:rPr>
          <w:rFonts w:hint="eastAsia" w:eastAsia="方正仿宋简体"/>
          <w:color w:val="000000"/>
          <w:sz w:val="28"/>
          <w:szCs w:val="28"/>
        </w:rPr>
        <w:t>抄送：区委各部委办局，区人大办，区政协办，区纪委监委办，区人</w:t>
      </w:r>
    </w:p>
    <w:p>
      <w:pPr>
        <w:adjustRightInd w:val="0"/>
        <w:snapToGrid w:val="0"/>
        <w:spacing w:line="400" w:lineRule="exact"/>
        <w:ind w:left="1442" w:leftChars="363" w:hanging="280" w:hangingChars="100"/>
        <w:rPr>
          <w:rFonts w:eastAsia="方正仿宋简体"/>
          <w:color w:val="000000"/>
          <w:sz w:val="28"/>
          <w:szCs w:val="28"/>
        </w:rPr>
      </w:pPr>
      <w:r>
        <w:rPr>
          <w:rFonts w:hint="eastAsia" w:eastAsia="方正仿宋简体"/>
          <w:color w:val="000000"/>
          <w:sz w:val="28"/>
          <w:szCs w:val="28"/>
        </w:rPr>
        <w:t>武部，区法院，区检察院，省、市驻阳东有关单位。</w:t>
      </w:r>
    </w:p>
    <w:p>
      <w:pPr>
        <w:tabs>
          <w:tab w:val="left" w:pos="8730"/>
        </w:tabs>
        <w:adjustRightInd w:val="0"/>
        <w:snapToGrid w:val="0"/>
        <w:spacing w:line="400" w:lineRule="exact"/>
        <w:ind w:firstLine="320" w:firstLineChars="100"/>
      </w:pPr>
      <w:r>
        <mc:AlternateContent>
          <mc:Choice Requires="wps">
            <w:drawing>
              <wp:anchor distT="0" distB="0" distL="114300" distR="114300" simplePos="0" relativeHeight="251660288" behindDoc="0" locked="0" layoutInCell="1" allowOverlap="1">
                <wp:simplePos x="0" y="0"/>
                <wp:positionH relativeFrom="column">
                  <wp:posOffset>-12700</wp:posOffset>
                </wp:positionH>
                <wp:positionV relativeFrom="paragraph">
                  <wp:posOffset>276225</wp:posOffset>
                </wp:positionV>
                <wp:extent cx="5715000" cy="0"/>
                <wp:effectExtent l="0" t="0" r="19050" b="19050"/>
                <wp:wrapNone/>
                <wp:docPr id="37" name="直接连接符 37"/>
                <wp:cNvGraphicFramePr/>
                <a:graphic xmlns:a="http://schemas.openxmlformats.org/drawingml/2006/main">
                  <a:graphicData uri="http://schemas.microsoft.com/office/word/2010/wordprocessingShape">
                    <wps:wsp>
                      <wps:cNvCnPr>
                        <a:cxnSpLocks noChangeShapeType="true"/>
                      </wps:cNvCnPr>
                      <wps:spPr bwMode="auto">
                        <a:xfrm>
                          <a:off x="0" y="0"/>
                          <a:ext cx="5715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pt;margin-top:21.75pt;height:0pt;width:450pt;z-index:251660288;mso-width-relative:page;mso-height-relative:page;" filled="f" stroked="t" coordsize="21600,21600" o:gfxdata="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A4dGOF1gAAAAgBAAAP&#10;AAAAAAAAAAEAIAAAADgAAABkcnMvZG93bnJldi54bWxQSwECFAAUAAAACACHTuJApz7WwssBAABh&#10;AwAADgAAAAAAAAABACAAAAA7AQAAZHJzL2Uyb0RvYy54bWxQSwUGAAAAAAYABgBZAQAAeA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5600700</wp:posOffset>
                </wp:positionH>
                <wp:positionV relativeFrom="paragraph">
                  <wp:posOffset>0</wp:posOffset>
                </wp:positionV>
                <wp:extent cx="635" cy="0"/>
                <wp:effectExtent l="0" t="0" r="0" b="0"/>
                <wp:wrapNone/>
                <wp:docPr id="39" name="直接连接符 39"/>
                <wp:cNvGraphicFramePr/>
                <a:graphic xmlns:a="http://schemas.openxmlformats.org/drawingml/2006/main">
                  <a:graphicData uri="http://schemas.microsoft.com/office/word/2010/wordprocessingShape">
                    <wps:wsp>
                      <wps:cNvCnPr>
                        <a:cxnSpLocks noChangeShapeType="true"/>
                      </wps:cNvCnPr>
                      <wps:spPr bwMode="auto">
                        <a:xfrm>
                          <a:off x="0" y="0"/>
                          <a:ext cx="635"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441pt;margin-top:0pt;height:0pt;width:0.05pt;z-index:251663360;mso-width-relative:page;mso-height-relative:page;" filled="f" stroked="t" coordsize="21600,21600" o:gfxdata="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MBXK9bSAAAABQEAAA8AAAAAAAAA&#10;AQAgAAAAOAAAAGRycy9kb3ducmV2LnhtbFBLAQIUABQAAAAIAIdO4kCChU4uyAEAAF0DAAAOAAAA&#10;AAAAAAEAIAAAADcBAABkcnMvZTJvRG9jLnhtbFBLBQYAAAAABgAGAFkBAABxBQ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5600700</wp:posOffset>
                </wp:positionH>
                <wp:positionV relativeFrom="paragraph">
                  <wp:posOffset>0</wp:posOffset>
                </wp:positionV>
                <wp:extent cx="114300" cy="0"/>
                <wp:effectExtent l="0" t="0" r="19050" b="19050"/>
                <wp:wrapNone/>
                <wp:docPr id="38" name="直接连接符 38"/>
                <wp:cNvGraphicFramePr/>
                <a:graphic xmlns:a="http://schemas.openxmlformats.org/drawingml/2006/main">
                  <a:graphicData uri="http://schemas.microsoft.com/office/word/2010/wordprocessingShape">
                    <wps:wsp>
                      <wps:cNvCnPr>
                        <a:cxnSpLocks noChangeShapeType="true"/>
                      </wps:cNvCnPr>
                      <wps:spPr bwMode="auto">
                        <a:xfrm>
                          <a:off x="0" y="0"/>
                          <a:ext cx="1143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441pt;margin-top:0pt;height:0pt;width:9pt;z-index:251662336;mso-width-relative:page;mso-height-relative:page;" filled="f" stroked="t" coordsize="21600,21600" o:gfxdata="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A2p92l0wAAAAUBAAAPAAAA&#10;AAAAAAEAIAAAADgAAABkcnMvZG93bnJldi54bWxQSwECFAAUAAAACACHTuJAwjk8TMsBAABgAwAA&#10;DgAAAAAAAAABACAAAAA4AQAAZHJzL2Uyb0RvYy54bWxQSwUGAAAAAAYABgBZAQAAdQ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-12700</wp:posOffset>
                </wp:positionH>
                <wp:positionV relativeFrom="paragraph">
                  <wp:posOffset>0</wp:posOffset>
                </wp:positionV>
                <wp:extent cx="5600700" cy="0"/>
                <wp:effectExtent l="0" t="0" r="19050" b="19050"/>
                <wp:wrapNone/>
                <wp:docPr id="36" name="直接连接符 36"/>
                <wp:cNvGraphicFramePr/>
                <a:graphic xmlns:a="http://schemas.openxmlformats.org/drawingml/2006/main">
                  <a:graphicData uri="http://schemas.microsoft.com/office/word/2010/wordprocessingShape">
                    <wps:wsp>
                      <wps:cNvCnPr>
                        <a:cxnSpLocks noChangeShapeType="true"/>
                      </wps:cNvCnPr>
                      <wps:spPr bwMode="auto">
                        <a:xfrm>
                          <a:off x="0" y="0"/>
                          <a:ext cx="56007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pt;margin-top:0pt;height:0pt;width:441pt;z-index:251661312;mso-width-relative:page;mso-height-relative:page;" filled="f" stroked="t" coordsize="21600,21600" o:gfxdata="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BYAAABkcnMvUEsBAhQAFAAAAAgAh07iQIYCjinSAAAABAEAAA8AAAAA&#10;AAAAAQAgAAAAOAAAAGRycy9kb3ducmV2LnhtbFBLAQIUABQAAAAIAIdO4kDGmRwvywEAAGEDAAAO&#10;AAAAAAAAAAEAIAAAADcBAABkcnMvZTJvRG9jLnhtbFBLBQYAAAAABgAGAFkBAAB0BQAAAAA=&#10;">
                <v:fill on="f" focussize="0,0"/>
                <v:stroke color="#000000" joinstyle="round"/>
                <v:imagedata o:title=""/>
                <o:lock v:ext="edit" aspectratio="f"/>
              </v:line>
            </w:pict>
          </mc:Fallback>
        </mc:AlternateContent>
      </w:r>
      <w:r>
        <w:rPr>
          <w:rFonts w:eastAsia="方正仿宋简体"/>
          <w:color w:val="000000"/>
          <w:sz w:val="28"/>
          <w:szCs w:val="28"/>
        </w:rPr>
        <w:t xml:space="preserve">阳江市阳东区人民政府办公室     </w:t>
      </w:r>
      <w:r>
        <w:rPr>
          <w:rFonts w:hint="eastAsia" w:eastAsia="方正仿宋简体"/>
          <w:color w:val="000000"/>
          <w:sz w:val="28"/>
          <w:szCs w:val="28"/>
        </w:rPr>
        <w:t xml:space="preserve">         </w:t>
      </w:r>
      <w:r>
        <w:rPr>
          <w:rFonts w:eastAsia="方正仿宋简体"/>
          <w:color w:val="000000"/>
          <w:sz w:val="28"/>
          <w:szCs w:val="28"/>
        </w:rPr>
        <w:t xml:space="preserve"> 202</w:t>
      </w:r>
      <w:r>
        <w:rPr>
          <w:rFonts w:hint="eastAsia" w:eastAsia="方正仿宋简体"/>
          <w:color w:val="000000"/>
          <w:sz w:val="28"/>
          <w:szCs w:val="28"/>
        </w:rPr>
        <w:t>4</w:t>
      </w:r>
      <w:r>
        <w:rPr>
          <w:rFonts w:eastAsia="方正仿宋简体"/>
          <w:color w:val="000000"/>
          <w:sz w:val="28"/>
          <w:szCs w:val="28"/>
        </w:rPr>
        <w:t>年</w:t>
      </w:r>
      <w:r>
        <w:rPr>
          <w:rFonts w:hint="eastAsia" w:eastAsia="方正仿宋简体"/>
          <w:color w:val="000000"/>
          <w:sz w:val="28"/>
          <w:szCs w:val="28"/>
        </w:rPr>
        <w:t>2</w:t>
      </w:r>
      <w:r>
        <w:rPr>
          <w:rFonts w:eastAsia="方正仿宋简体"/>
          <w:color w:val="000000"/>
          <w:sz w:val="28"/>
          <w:szCs w:val="28"/>
        </w:rPr>
        <w:t>月</w:t>
      </w:r>
      <w:r>
        <w:rPr>
          <w:rFonts w:hint="eastAsia" w:eastAsia="方正仿宋简体"/>
          <w:color w:val="000000"/>
          <w:sz w:val="28"/>
          <w:szCs w:val="28"/>
        </w:rPr>
        <w:t>1</w:t>
      </w:r>
      <w:r>
        <w:rPr>
          <w:rFonts w:eastAsia="方正仿宋简体"/>
          <w:color w:val="000000"/>
          <w:sz w:val="28"/>
          <w:szCs w:val="28"/>
        </w:rPr>
        <w:t>日印发</w:t>
      </w:r>
    </w:p>
    <w:sectPr>
      <w:footerReference r:id="rId8" w:type="default"/>
      <w:pgSz w:w="11906" w:h="16838"/>
      <w:pgMar w:top="1814" w:right="1531" w:bottom="1814" w:left="1531" w:header="567" w:footer="1531"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AFF" w:usb1="C0007843"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Calibri Light">
    <w:panose1 w:val="020F0302020204030204"/>
    <w:charset w:val="00"/>
    <w:family w:val="swiss"/>
    <w:pitch w:val="default"/>
    <w:sig w:usb0="A00002EF" w:usb1="4000207B"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仿宋简体">
    <w:panose1 w:val="02010601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FKai-SB">
    <w:panose1 w:val="03000509000000000000"/>
    <w:charset w:val="88"/>
    <w:family w:val="auto"/>
    <w:pitch w:val="default"/>
    <w:sig w:usb0="00000003" w:usb1="082E0000" w:usb2="00000016" w:usb3="00000000" w:csb0="00100001" w:csb1="00000000"/>
  </w:font>
  <w:font w:name="方正宋体S-超大字符集">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6007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56007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ind w:firstLine="440"/>
                            <w:rPr>
                              <w:sz w:val="22"/>
                              <w:szCs w:val="36"/>
                            </w:rPr>
                          </w:pPr>
                          <w:r>
                            <w:rPr>
                              <w:sz w:val="22"/>
                              <w:szCs w:val="36"/>
                            </w:rPr>
                            <w:fldChar w:fldCharType="begin"/>
                          </w:r>
                          <w:r>
                            <w:rPr>
                              <w:sz w:val="22"/>
                              <w:szCs w:val="36"/>
                            </w:rPr>
                            <w:instrText xml:space="preserve"> PAGE  \* MERGEFORMAT </w:instrText>
                          </w:r>
                          <w:r>
                            <w:rPr>
                              <w:sz w:val="22"/>
                              <w:szCs w:val="36"/>
                            </w:rPr>
                            <w:fldChar w:fldCharType="separate"/>
                          </w:r>
                          <w:r>
                            <w:rPr>
                              <w:sz w:val="22"/>
                              <w:szCs w:val="36"/>
                            </w:rPr>
                            <w:t>II</w:t>
                          </w:r>
                          <w:r>
                            <w:rPr>
                              <w:sz w:val="22"/>
                              <w:szCs w:val="36"/>
                            </w:rPr>
                            <w:fldChar w:fldCharType="end"/>
                          </w:r>
                        </w:p>
                      </w:txbxContent>
                    </wps:txbx>
                    <wps:bodyPr rot="0" spcFirstLastPara="0" vertOverflow="overflow" horzOverflow="overflow" vert="horz" wrap="squar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44.1pt;mso-position-horizontal:center;mso-position-horizontal-relative:margin;z-index:251659264;mso-width-relative:page;mso-height-relative:page;" filled="f" stroked="f" coordsize="21600,21600" o:gfxdata="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BYAAABkcnMvUEsBAhQAFAAA&#10;AAgAh07iQBIjVGDTAAAABAEAAA8AAAAAAAAAAQAgAAAAOAAAAGRycy9kb3ducmV2LnhtbFBLAQIU&#10;ABQAAAAIAIdO4kCL0YbHGwIAABoEAAAOAAAAAAAAAAEAIAAAADgBAABkcnMvZTJvRG9jLnhtbFBL&#10;BQYAAAAABgAGAFkBAADFBQAAAAA=&#10;">
              <v:fill on="f" focussize="0,0"/>
              <v:stroke on="f" weight="0.5pt"/>
              <v:imagedata o:title=""/>
              <o:lock v:ext="edit" aspectratio="f"/>
              <v:textbox inset="0mm,0mm,0mm,0mm" style="mso-fit-shape-to-text:t;">
                <w:txbxContent>
                  <w:p>
                    <w:pPr>
                      <w:pStyle w:val="11"/>
                      <w:ind w:firstLine="440"/>
                      <w:rPr>
                        <w:sz w:val="22"/>
                        <w:szCs w:val="36"/>
                      </w:rPr>
                    </w:pPr>
                    <w:r>
                      <w:rPr>
                        <w:sz w:val="22"/>
                        <w:szCs w:val="36"/>
                      </w:rPr>
                      <w:fldChar w:fldCharType="begin"/>
                    </w:r>
                    <w:r>
                      <w:rPr>
                        <w:sz w:val="22"/>
                        <w:szCs w:val="36"/>
                      </w:rPr>
                      <w:instrText xml:space="preserve"> PAGE  \* MERGEFORMAT </w:instrText>
                    </w:r>
                    <w:r>
                      <w:rPr>
                        <w:sz w:val="22"/>
                        <w:szCs w:val="36"/>
                      </w:rPr>
                      <w:fldChar w:fldCharType="separate"/>
                    </w:r>
                    <w:r>
                      <w:rPr>
                        <w:sz w:val="22"/>
                        <w:szCs w:val="36"/>
                      </w:rPr>
                      <w:t>II</w:t>
                    </w:r>
                    <w:r>
                      <w:rPr>
                        <w:sz w:val="22"/>
                        <w:szCs w:val="36"/>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adjustRightInd w:val="0"/>
      <w:spacing w:line="570" w:lineRule="exact"/>
      <w:ind w:right="210" w:firstLine="0" w:firstLineChars="0"/>
      <w:rPr>
        <w:rStyle w:val="21"/>
        <w:rFonts w:asciiTheme="minorEastAsia" w:hAnsiTheme="minorEastAsia"/>
        <w:sz w:val="28"/>
      </w:rPr>
    </w:pPr>
    <w:r>
      <w:rPr>
        <w:rStyle w:val="21"/>
        <w:rFonts w:hint="eastAsia" w:asciiTheme="minorEastAsia" w:hAnsiTheme="minorEastAsia"/>
        <w:sz w:val="28"/>
      </w:rPr>
      <w:t xml:space="preserve">- </w:t>
    </w:r>
    <w:r>
      <w:rPr>
        <w:rStyle w:val="21"/>
        <w:rFonts w:asciiTheme="minorEastAsia" w:hAnsiTheme="minorEastAsia"/>
        <w:sz w:val="28"/>
      </w:rPr>
      <w:fldChar w:fldCharType="begin"/>
    </w:r>
    <w:r>
      <w:rPr>
        <w:rStyle w:val="21"/>
        <w:rFonts w:asciiTheme="minorEastAsia" w:hAnsiTheme="minorEastAsia"/>
        <w:sz w:val="28"/>
      </w:rPr>
      <w:instrText xml:space="preserve">PAGE  </w:instrText>
    </w:r>
    <w:r>
      <w:rPr>
        <w:rStyle w:val="21"/>
        <w:rFonts w:asciiTheme="minorEastAsia" w:hAnsiTheme="minorEastAsia"/>
        <w:sz w:val="28"/>
      </w:rPr>
      <w:fldChar w:fldCharType="separate"/>
    </w:r>
    <w:r>
      <w:rPr>
        <w:rStyle w:val="21"/>
        <w:rFonts w:asciiTheme="minorEastAsia" w:hAnsiTheme="minorEastAsia"/>
        <w:sz w:val="28"/>
      </w:rPr>
      <w:t>51</w:t>
    </w:r>
    <w:r>
      <w:rPr>
        <w:rStyle w:val="21"/>
        <w:rFonts w:asciiTheme="minorEastAsia" w:hAnsiTheme="minorEastAsia"/>
        <w:sz w:val="28"/>
      </w:rPr>
      <w:fldChar w:fldCharType="end"/>
    </w:r>
    <w:r>
      <w:rPr>
        <w:rStyle w:val="21"/>
        <w:rFonts w:hint="eastAsia" w:asciiTheme="minorEastAsia" w:hAnsiTheme="minorEastAsia"/>
        <w:sz w:val="28"/>
      </w:rPr>
      <w:t xml:space="preserve"> -</w:t>
    </w:r>
  </w:p>
  <w:p>
    <w:pPr>
      <w:pStyle w:val="11"/>
      <w:ind w:firstLine="0" w:firstLineChars="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0" w:firstLineChars="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0">
    <w:p>
      <w:pPr>
        <w:spacing w:line="240" w:lineRule="auto"/>
        <w:ind w:firstLine="640"/>
      </w:pPr>
      <w:r>
        <w:separator/>
      </w:r>
    </w:p>
  </w:footnote>
  <w:footnote w:type="continuationSeparator" w:id="21">
    <w:p>
      <w:pPr>
        <w:spacing w:line="240" w:lineRule="auto"/>
        <w:ind w:firstLine="640"/>
      </w:pPr>
      <w:r>
        <w:continuationSeparator/>
      </w:r>
    </w:p>
  </w:footnote>
  <w:footnote w:id="0">
    <w:p>
      <w:pPr>
        <w:pStyle w:val="14"/>
        <w:spacing w:line="240" w:lineRule="auto"/>
        <w:ind w:firstLine="360"/>
        <w:rPr>
          <w:rFonts w:ascii="方正楷体简体" w:eastAsia="方正楷体简体" w:cs="Times New Roman"/>
        </w:rPr>
      </w:pPr>
      <w:r>
        <w:rPr>
          <w:rStyle w:val="25"/>
          <w:rFonts w:hint="eastAsia" w:ascii="方正楷体简体" w:eastAsia="方正楷体简体" w:cs="Times New Roman"/>
        </w:rPr>
        <w:footnoteRef/>
      </w:r>
      <w:r>
        <w:rPr>
          <w:rFonts w:hint="eastAsia" w:ascii="方正楷体简体" w:eastAsia="方正楷体简体" w:cs="Times New Roman"/>
        </w:rPr>
        <w:t xml:space="preserve"> “自然保护区陆域面积占比”统计口径变化原因：“十三五”期间区域的自然保护区名单发生变动，鉴于统计口径发生变化，该指标不参与评价。</w:t>
      </w:r>
    </w:p>
  </w:footnote>
  <w:footnote w:id="1">
    <w:p>
      <w:pPr>
        <w:pStyle w:val="14"/>
        <w:spacing w:line="240" w:lineRule="auto"/>
        <w:ind w:firstLine="360"/>
        <w:rPr>
          <w:rFonts w:eastAsia="方正楷体简体" w:cs="Times New Roman"/>
        </w:rPr>
      </w:pPr>
      <w:r>
        <w:rPr>
          <w:rStyle w:val="25"/>
          <w:rFonts w:eastAsia="方正楷体简体" w:cs="Times New Roman"/>
        </w:rPr>
        <w:footnoteRef/>
      </w:r>
      <w:r>
        <w:rPr>
          <w:rFonts w:eastAsia="方正楷体简体" w:cs="Times New Roman"/>
        </w:rPr>
        <w:t xml:space="preserve"> 1310：“1”是指锚定“走在前列”总目标。“3”是指激活改革、开放、创新“三大动力”。“10”是指奋力实现“十大突破”，一是纵深推进新阶段粤港澳大湾区建设，在牵引全面深化改革开放上取得新突破；二是始终坚持实体经济为本、制造业当家，在建设更具国际竞争力的现代化产业体系上取得新突破；三是一体推进教育强省、科技创新强省、人才强省建设，在实现高水平科技自立自强上取得新突破；四是深入实施“百县千镇万村高质量发展工程”，在城乡区域协调发展上取得新突破；五是全面推进海洋强省建设，在打造海上新广东取得新突破；六是深入推进绿美广东生态建设，在打造人与自然和谐共生的现代化广东样板上取得新突破；七是扎实推进文化强省建设，在努力交出物质文明和精神文明两份好的答卷上取得新突破；八是用心用情抓好民生社会实业，在推动共同富裕上取得新突破；九是扎实推进法治广东平安广东建设，在构建新安全格局上取得新突破；十是坚定不移加强党的全面领导和党的建设，在营造良好政治生态上取得新突破。</w:t>
      </w:r>
    </w:p>
  </w:footnote>
  <w:footnote w:id="2">
    <w:p>
      <w:pPr>
        <w:pStyle w:val="14"/>
        <w:spacing w:line="240" w:lineRule="auto"/>
        <w:ind w:firstLine="360"/>
        <w:rPr>
          <w:rFonts w:eastAsia="方正楷体简体" w:cs="Times New Roman"/>
        </w:rPr>
      </w:pPr>
      <w:r>
        <w:rPr>
          <w:rStyle w:val="25"/>
          <w:rFonts w:eastAsia="方正楷体简体" w:cs="Times New Roman"/>
        </w:rPr>
        <w:footnoteRef/>
      </w:r>
      <w:r>
        <w:rPr>
          <w:rFonts w:eastAsia="方正楷体简体" w:cs="Times New Roman"/>
        </w:rPr>
        <w:t xml:space="preserve"> 433：“4”是四大工程，要实施“深度融湾工程”，以新担当新作为推动沿海经济带重要战略支点功能实现新跃升；实施“产业振兴工程”，以新担当新作为推动制造业当家实现新跃升；实施“科教兴市工程”，以新担当新作为推动教育科技人才工作实现新跃升；实施“百千万工程”，以新担当新作为推动城乡区域协调发展实现新跃升。第一个“3”是“三大名片”，打造蓝色海洋名片，以新担当新作为推动海洋经济实现新跃升；打造绿色生态名片，以新担当新作为推动绿美阳江生态建设实现新跃升；打造特色文化名片，以新担当新作为推动文商旅融合发展实现新跃升。第二个“3”是“三大建设”，加强幸福阳江建设，以新担当新作为推动民生福祉实现新跃升；加强法治阳江平安阳江建设，以新担当新作为推动社会治理效能实现新跃升；加强党的全面领导和党的建设，以新担当新作为推动管党治党水平实现新跃升。</w:t>
      </w:r>
    </w:p>
  </w:footnote>
  <w:footnote w:id="3">
    <w:p>
      <w:pPr>
        <w:pStyle w:val="14"/>
        <w:spacing w:line="240" w:lineRule="auto"/>
        <w:ind w:firstLine="360"/>
        <w:rPr>
          <w:rFonts w:eastAsia="方正楷体简体" w:cs="Times New Roman"/>
        </w:rPr>
      </w:pPr>
      <w:r>
        <w:rPr>
          <w:rStyle w:val="25"/>
          <w:rFonts w:eastAsia="方正楷体简体" w:cs="Times New Roman"/>
        </w:rPr>
        <w:footnoteRef/>
      </w:r>
      <w:r>
        <w:rPr>
          <w:rFonts w:eastAsia="方正楷体简体" w:cs="Times New Roman"/>
        </w:rPr>
        <w:t xml:space="preserve"> 1+3个3：“1”就是加强党的全面领导和党的建设。第一个“3”是优化提升阳江东部城区、园区和滨海文旅三大发展平台；第二个“3”是建立健全改革创新谋突破、办好实事惠民生和履职尽责抓落实三项工作机制；第三个“3”是着力打造融湾接带、产业承接和城乡融合三个先行区。</w:t>
      </w:r>
    </w:p>
  </w:footnote>
  <w:footnote w:id="4">
    <w:p>
      <w:pPr>
        <w:pStyle w:val="14"/>
        <w:spacing w:line="300" w:lineRule="exact"/>
        <w:ind w:firstLine="360"/>
        <w:rPr>
          <w:rFonts w:ascii="方正楷体简体" w:hAnsi="仿宋_GB2312" w:eastAsia="方正楷体简体" w:cs="仿宋_GB2312"/>
        </w:rPr>
      </w:pPr>
      <w:r>
        <w:rPr>
          <w:rStyle w:val="25"/>
          <w:rFonts w:hint="eastAsia" w:ascii="方正楷体简体" w:eastAsia="方正楷体简体"/>
        </w:rPr>
        <w:footnoteRef/>
      </w:r>
      <w:r>
        <w:rPr>
          <w:rFonts w:hint="eastAsia" w:ascii="方正楷体简体" w:eastAsia="方正楷体简体"/>
        </w:rPr>
        <w:t xml:space="preserve"> </w:t>
      </w:r>
      <w:r>
        <w:rPr>
          <w:rFonts w:hint="eastAsia" w:ascii="方正楷体简体" w:hAnsi="仿宋_GB2312" w:eastAsia="方正楷体简体" w:cs="仿宋_GB2312"/>
        </w:rPr>
        <w:t>根据详查结果，阳东区无严格管控类耕地，阳东区暂无受污染耕地治理与修复工作。</w:t>
      </w:r>
    </w:p>
  </w:footnote>
  <w:footnote w:id="5">
    <w:p>
      <w:pPr>
        <w:pStyle w:val="14"/>
        <w:spacing w:line="300" w:lineRule="exact"/>
        <w:ind w:firstLine="360"/>
      </w:pPr>
      <w:r>
        <w:rPr>
          <w:rStyle w:val="25"/>
          <w:rFonts w:hint="eastAsia" w:ascii="方正楷体简体" w:eastAsia="方正楷体简体"/>
        </w:rPr>
        <w:footnoteRef/>
      </w:r>
      <w:r>
        <w:rPr>
          <w:rFonts w:hint="eastAsia" w:ascii="方正楷体简体" w:eastAsia="方正楷体简体"/>
        </w:rPr>
        <w:t xml:space="preserve"> 陆域生态保护红线暂采用2020年广东省人民政府报送自然资源部、生态环境部的版本。</w:t>
      </w:r>
    </w:p>
  </w:footnote>
  <w:footnote w:id="6">
    <w:p>
      <w:pPr>
        <w:pStyle w:val="14"/>
        <w:spacing w:line="240" w:lineRule="auto"/>
        <w:ind w:firstLine="360"/>
        <w:rPr>
          <w:rFonts w:ascii="方正楷体简体" w:eastAsia="方正楷体简体"/>
        </w:rPr>
      </w:pPr>
      <w:r>
        <w:rPr>
          <w:rStyle w:val="25"/>
          <w:rFonts w:hint="eastAsia" w:ascii="方正楷体简体" w:eastAsia="方正楷体简体"/>
        </w:rPr>
        <w:footnoteRef/>
      </w:r>
      <w:r>
        <w:rPr>
          <w:rFonts w:hint="eastAsia" w:ascii="方正楷体简体" w:eastAsia="方正楷体简体"/>
        </w:rPr>
        <w:t xml:space="preserve"> 一轴一带、一核三区：“一轴”是指依托广湛高速公路和旧 </w:t>
      </w:r>
      <w:r>
        <w:rPr>
          <w:rFonts w:eastAsia="方正楷体简体" w:cs="Times New Roman"/>
        </w:rPr>
        <w:t>325</w:t>
      </w:r>
      <w:r>
        <w:rPr>
          <w:rFonts w:hint="eastAsia" w:ascii="方正楷体简体" w:eastAsia="方正楷体简体"/>
        </w:rPr>
        <w:t xml:space="preserve"> 国道市政化升级改造，聚合东城、北惯、合山和那龙四镇和阳东沿海经济开发区、合山工业区、那龙生态工业园等，形成阳东最为重要的产业与城镇聚合发展轴；“一带”是指以东城镇为核心，串联塘坪、红丰、雅韶、大沟、东平，打造南北向的陆海联动发展带；“一核”是指充分发挥东城镇与江城区共同组成阳江市域综合服务中心的特殊区位优势，将东城镇打造成为引领全区高质量发展、提升城市发展能级的核心区域；“三区”是指北部农业经济发展区（包括红丰、塘坪、大八镇）、中部工业经济发展区（包括东城、北惯、合山、新洲、那龙镇）和南部海洋经济发展区（包括雅韶、大沟、东平镇）区域布局，发展特色优势产业。</w:t>
      </w:r>
    </w:p>
  </w:footnote>
  <w:footnote w:id="7">
    <w:p>
      <w:pPr>
        <w:pStyle w:val="14"/>
        <w:spacing w:line="240" w:lineRule="auto"/>
        <w:ind w:firstLine="360"/>
        <w:rPr>
          <w:rFonts w:eastAsia="方正楷体简体" w:cs="Times New Roman"/>
        </w:rPr>
      </w:pPr>
      <w:r>
        <w:rPr>
          <w:rStyle w:val="25"/>
          <w:rFonts w:eastAsia="方正楷体简体" w:cs="Times New Roman"/>
        </w:rPr>
        <w:footnoteRef/>
      </w:r>
      <w:r>
        <w:rPr>
          <w:rFonts w:eastAsia="方正楷体简体" w:cs="Times New Roman"/>
        </w:rPr>
        <w:t xml:space="preserve"> C级：根据工业炉窑分级标准，达到超低排放标准要求或主要污染物浓度达到排放限值的50%为A级企业，稳定达标排放为B级企业，不能稳定达标排放为C级企业。</w:t>
      </w:r>
    </w:p>
  </w:footnote>
  <w:footnote w:id="8">
    <w:p>
      <w:pPr>
        <w:pStyle w:val="14"/>
        <w:spacing w:line="240" w:lineRule="auto"/>
        <w:ind w:firstLine="360"/>
        <w:rPr>
          <w:rFonts w:eastAsia="方正楷体简体" w:cs="Times New Roman"/>
        </w:rPr>
      </w:pPr>
      <w:r>
        <w:rPr>
          <w:rStyle w:val="25"/>
          <w:rFonts w:eastAsia="方正楷体简体" w:cs="Times New Roman"/>
        </w:rPr>
        <w:footnoteRef/>
      </w:r>
      <w:r>
        <w:rPr>
          <w:rFonts w:eastAsia="方正楷体简体" w:cs="Times New Roman"/>
        </w:rPr>
        <w:t xml:space="preserve"> 公私合作（PPP）模式：是公共基础设施的一种项目融资模式。指政府公共部门与民营部门合作过程中，让非公共部门所掌握的资源参与提供公共产品和服务，从而实现政府公共部门的职能并同时也为民营部门带来利益。</w:t>
      </w:r>
    </w:p>
  </w:footnote>
  <w:footnote w:id="9">
    <w:p>
      <w:pPr>
        <w:pStyle w:val="14"/>
        <w:spacing w:line="240" w:lineRule="auto"/>
        <w:ind w:firstLine="360"/>
        <w:rPr>
          <w:rFonts w:cs="Times New Roman"/>
        </w:rPr>
      </w:pPr>
      <w:r>
        <w:rPr>
          <w:rStyle w:val="25"/>
          <w:rFonts w:eastAsia="方正楷体简体" w:cs="Times New Roman"/>
        </w:rPr>
        <w:footnoteRef/>
      </w:r>
      <w:r>
        <w:rPr>
          <w:rFonts w:eastAsia="方正楷体简体" w:cs="Times New Roman"/>
        </w:rPr>
        <w:t xml:space="preserve"> 城市开发（EOD）模式：是以生态保护和环境治理为基础，以特色产业运营为支撑，以区域综合开发为载体，采取产业链延伸、联合经营、组合开发等方式，推动公益性较强、收益性差的生态环境治理项目与收益较好的关联产业有效融合，统筹推进，一体化实施，将生态环境治理带来的经济价值内部化，是一种创新性的项目组织实施方式。</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33973F"/>
    <w:multiLevelType w:val="singleLevel"/>
    <w:tmpl w:val="8533973F"/>
    <w:lvl w:ilvl="0" w:tentative="0">
      <w:start w:val="1"/>
      <w:numFmt w:val="chineseCounting"/>
      <w:suff w:val="nothing"/>
      <w:lvlText w:val="（%1）"/>
      <w:lvlJc w:val="left"/>
      <w:pPr>
        <w:tabs>
          <w:tab w:val="left" w:pos="0"/>
        </w:tabs>
        <w:ind w:left="0" w:firstLine="420"/>
      </w:pPr>
      <w:rPr>
        <w:rFonts w:hint="eastAsia" w:eastAsia="楷体_GB2312"/>
        <w:sz w:val="32"/>
      </w:rPr>
    </w:lvl>
  </w:abstractNum>
  <w:abstractNum w:abstractNumId="1">
    <w:nsid w:val="9B3B6B73"/>
    <w:multiLevelType w:val="singleLevel"/>
    <w:tmpl w:val="9B3B6B73"/>
    <w:lvl w:ilvl="0" w:tentative="0">
      <w:start w:val="1"/>
      <w:numFmt w:val="chineseCounting"/>
      <w:suff w:val="nothing"/>
      <w:lvlText w:val="（%1）"/>
      <w:lvlJc w:val="left"/>
      <w:pPr>
        <w:ind w:left="0" w:firstLine="420"/>
      </w:pPr>
      <w:rPr>
        <w:rFonts w:hint="eastAsia" w:ascii="Times New Roman" w:hAnsi="Times New Roman" w:eastAsia="方正楷体简体"/>
        <w:b w:val="0"/>
        <w:sz w:val="32"/>
      </w:rPr>
    </w:lvl>
  </w:abstractNum>
  <w:abstractNum w:abstractNumId="2">
    <w:nsid w:val="9DA4A186"/>
    <w:multiLevelType w:val="singleLevel"/>
    <w:tmpl w:val="9DA4A186"/>
    <w:lvl w:ilvl="0" w:tentative="0">
      <w:start w:val="1"/>
      <w:numFmt w:val="chineseCounting"/>
      <w:suff w:val="nothing"/>
      <w:lvlText w:val="（%1）"/>
      <w:lvlJc w:val="left"/>
      <w:pPr>
        <w:ind w:left="0" w:firstLine="420"/>
      </w:pPr>
      <w:rPr>
        <w:rFonts w:hint="eastAsia" w:ascii="Times New Roman" w:hAnsi="Times New Roman" w:eastAsia="方正楷体简体"/>
        <w:b w:val="0"/>
        <w:sz w:val="32"/>
      </w:rPr>
    </w:lvl>
  </w:abstractNum>
  <w:abstractNum w:abstractNumId="3">
    <w:nsid w:val="B542BD3C"/>
    <w:multiLevelType w:val="singleLevel"/>
    <w:tmpl w:val="B542BD3C"/>
    <w:lvl w:ilvl="0" w:tentative="0">
      <w:start w:val="1"/>
      <w:numFmt w:val="chineseCounting"/>
      <w:suff w:val="nothing"/>
      <w:lvlText w:val="（%1）"/>
      <w:lvlJc w:val="left"/>
      <w:pPr>
        <w:tabs>
          <w:tab w:val="left" w:pos="0"/>
        </w:tabs>
        <w:ind w:left="0" w:firstLine="40"/>
      </w:pPr>
      <w:rPr>
        <w:rFonts w:hint="eastAsia" w:eastAsia="楷体_GB2312"/>
        <w:sz w:val="32"/>
      </w:rPr>
    </w:lvl>
  </w:abstractNum>
  <w:abstractNum w:abstractNumId="4">
    <w:nsid w:val="D8488F24"/>
    <w:multiLevelType w:val="singleLevel"/>
    <w:tmpl w:val="D8488F24"/>
    <w:lvl w:ilvl="0" w:tentative="0">
      <w:start w:val="1"/>
      <w:numFmt w:val="chineseCounting"/>
      <w:suff w:val="nothing"/>
      <w:lvlText w:val="（%1）"/>
      <w:lvlJc w:val="left"/>
      <w:pPr>
        <w:tabs>
          <w:tab w:val="left" w:pos="0"/>
        </w:tabs>
        <w:ind w:left="220" w:firstLine="420"/>
      </w:pPr>
      <w:rPr>
        <w:rFonts w:hint="eastAsia" w:ascii="Times New Roman" w:hAnsi="Times New Roman" w:eastAsia="方正楷体简体"/>
        <w:b w:val="0"/>
        <w:sz w:val="32"/>
      </w:rPr>
    </w:lvl>
  </w:abstractNum>
  <w:abstractNum w:abstractNumId="5">
    <w:nsid w:val="DB7857D7"/>
    <w:multiLevelType w:val="singleLevel"/>
    <w:tmpl w:val="DB7857D7"/>
    <w:lvl w:ilvl="0" w:tentative="0">
      <w:start w:val="1"/>
      <w:numFmt w:val="chineseCounting"/>
      <w:suff w:val="nothing"/>
      <w:lvlText w:val="（%1）"/>
      <w:lvlJc w:val="left"/>
      <w:pPr>
        <w:tabs>
          <w:tab w:val="left" w:pos="0"/>
        </w:tabs>
        <w:ind w:left="0" w:firstLine="420"/>
      </w:pPr>
      <w:rPr>
        <w:rFonts w:hint="eastAsia" w:eastAsia="楷体_GB2312"/>
        <w:sz w:val="32"/>
      </w:rPr>
    </w:lvl>
  </w:abstractNum>
  <w:abstractNum w:abstractNumId="6">
    <w:nsid w:val="DE27F224"/>
    <w:multiLevelType w:val="singleLevel"/>
    <w:tmpl w:val="DE27F224"/>
    <w:lvl w:ilvl="0" w:tentative="0">
      <w:start w:val="1"/>
      <w:numFmt w:val="chineseCounting"/>
      <w:suff w:val="nothing"/>
      <w:lvlText w:val="（%1）"/>
      <w:lvlJc w:val="left"/>
      <w:pPr>
        <w:tabs>
          <w:tab w:val="left" w:pos="0"/>
        </w:tabs>
        <w:ind w:left="0" w:firstLine="420"/>
      </w:pPr>
      <w:rPr>
        <w:rFonts w:hint="eastAsia" w:ascii="Times New Roman" w:hAnsi="Times New Roman" w:eastAsia="方正楷体简体"/>
        <w:b w:val="0"/>
        <w:sz w:val="32"/>
      </w:rPr>
    </w:lvl>
  </w:abstractNum>
  <w:abstractNum w:abstractNumId="7">
    <w:nsid w:val="E14F9415"/>
    <w:multiLevelType w:val="singleLevel"/>
    <w:tmpl w:val="E14F9415"/>
    <w:lvl w:ilvl="0" w:tentative="0">
      <w:start w:val="1"/>
      <w:numFmt w:val="chineseCounting"/>
      <w:suff w:val="nothing"/>
      <w:lvlText w:val="（%1）"/>
      <w:lvlJc w:val="left"/>
      <w:pPr>
        <w:tabs>
          <w:tab w:val="left" w:pos="0"/>
        </w:tabs>
        <w:ind w:left="220" w:firstLine="420"/>
      </w:pPr>
      <w:rPr>
        <w:rFonts w:hint="eastAsia" w:ascii="Times New Roman" w:hAnsi="Times New Roman" w:eastAsia="方正楷体简体"/>
        <w:b w:val="0"/>
        <w:sz w:val="32"/>
      </w:rPr>
    </w:lvl>
  </w:abstractNum>
  <w:abstractNum w:abstractNumId="8">
    <w:nsid w:val="ED58D6E3"/>
    <w:multiLevelType w:val="singleLevel"/>
    <w:tmpl w:val="ED58D6E3"/>
    <w:lvl w:ilvl="0" w:tentative="0">
      <w:start w:val="1"/>
      <w:numFmt w:val="chineseCounting"/>
      <w:suff w:val="nothing"/>
      <w:lvlText w:val="（%1）"/>
      <w:lvlJc w:val="left"/>
      <w:pPr>
        <w:tabs>
          <w:tab w:val="left" w:pos="0"/>
        </w:tabs>
        <w:ind w:left="0" w:firstLine="40"/>
      </w:pPr>
      <w:rPr>
        <w:rFonts w:hint="eastAsia" w:ascii="Times New Roman" w:hAnsi="Times New Roman" w:eastAsia="方正楷体简体"/>
        <w:b w:val="0"/>
        <w:sz w:val="32"/>
      </w:rPr>
    </w:lvl>
  </w:abstractNum>
  <w:abstractNum w:abstractNumId="9">
    <w:nsid w:val="EF536564"/>
    <w:multiLevelType w:val="singleLevel"/>
    <w:tmpl w:val="EF536564"/>
    <w:lvl w:ilvl="0" w:tentative="0">
      <w:start w:val="1"/>
      <w:numFmt w:val="chineseCounting"/>
      <w:suff w:val="nothing"/>
      <w:lvlText w:val="（%1）"/>
      <w:lvlJc w:val="left"/>
      <w:pPr>
        <w:ind w:left="0" w:firstLine="420"/>
      </w:pPr>
      <w:rPr>
        <w:rFonts w:hint="eastAsia" w:ascii="Times New Roman" w:hAnsi="Times New Roman" w:eastAsia="方正楷体简体"/>
        <w:b w:val="0"/>
        <w:sz w:val="32"/>
      </w:rPr>
    </w:lvl>
  </w:abstractNum>
  <w:abstractNum w:abstractNumId="10">
    <w:nsid w:val="F657DC32"/>
    <w:multiLevelType w:val="singleLevel"/>
    <w:tmpl w:val="F657DC32"/>
    <w:lvl w:ilvl="0" w:tentative="0">
      <w:start w:val="1"/>
      <w:numFmt w:val="chineseCounting"/>
      <w:suff w:val="nothing"/>
      <w:lvlText w:val="（%1）"/>
      <w:lvlJc w:val="left"/>
      <w:pPr>
        <w:tabs>
          <w:tab w:val="left" w:pos="0"/>
        </w:tabs>
        <w:ind w:left="220" w:firstLine="420"/>
      </w:pPr>
      <w:rPr>
        <w:rFonts w:hint="eastAsia" w:ascii="Times New Roman" w:hAnsi="Times New Roman" w:eastAsia="方正楷体简体"/>
        <w:b w:val="0"/>
        <w:sz w:val="32"/>
      </w:rPr>
    </w:lvl>
  </w:abstractNum>
  <w:abstractNum w:abstractNumId="11">
    <w:nsid w:val="01377623"/>
    <w:multiLevelType w:val="singleLevel"/>
    <w:tmpl w:val="01377623"/>
    <w:lvl w:ilvl="0" w:tentative="0">
      <w:start w:val="1"/>
      <w:numFmt w:val="chineseCounting"/>
      <w:suff w:val="nothing"/>
      <w:lvlText w:val="（%1）"/>
      <w:lvlJc w:val="left"/>
      <w:pPr>
        <w:tabs>
          <w:tab w:val="left" w:pos="0"/>
        </w:tabs>
        <w:ind w:left="220" w:firstLine="420"/>
      </w:pPr>
      <w:rPr>
        <w:rFonts w:hint="eastAsia" w:ascii="Times New Roman" w:hAnsi="Times New Roman" w:eastAsia="方正楷体简体"/>
        <w:b w:val="0"/>
        <w:sz w:val="32"/>
      </w:rPr>
    </w:lvl>
  </w:abstractNum>
  <w:abstractNum w:abstractNumId="12">
    <w:nsid w:val="09703C57"/>
    <w:multiLevelType w:val="singleLevel"/>
    <w:tmpl w:val="09703C57"/>
    <w:lvl w:ilvl="0" w:tentative="0">
      <w:start w:val="1"/>
      <w:numFmt w:val="chineseCounting"/>
      <w:suff w:val="nothing"/>
      <w:lvlText w:val="（%1）"/>
      <w:lvlJc w:val="left"/>
      <w:pPr>
        <w:tabs>
          <w:tab w:val="left" w:pos="0"/>
        </w:tabs>
        <w:ind w:left="0" w:firstLine="40"/>
      </w:pPr>
      <w:rPr>
        <w:rFonts w:hint="eastAsia" w:ascii="Times New Roman" w:hAnsi="Times New Roman" w:eastAsia="方正楷体简体"/>
        <w:b w:val="0"/>
        <w:sz w:val="32"/>
      </w:rPr>
    </w:lvl>
  </w:abstractNum>
  <w:abstractNum w:abstractNumId="13">
    <w:nsid w:val="1C57CCFB"/>
    <w:multiLevelType w:val="singleLevel"/>
    <w:tmpl w:val="1C57CCFB"/>
    <w:lvl w:ilvl="0" w:tentative="0">
      <w:start w:val="1"/>
      <w:numFmt w:val="chineseCounting"/>
      <w:suff w:val="nothing"/>
      <w:lvlText w:val="（%1）"/>
      <w:lvlJc w:val="left"/>
      <w:pPr>
        <w:tabs>
          <w:tab w:val="left" w:pos="0"/>
        </w:tabs>
        <w:ind w:left="0" w:firstLine="420"/>
      </w:pPr>
      <w:rPr>
        <w:rFonts w:hint="eastAsia" w:ascii="Times New Roman" w:hAnsi="Times New Roman" w:eastAsia="方正楷体简体"/>
        <w:b w:val="0"/>
        <w:sz w:val="32"/>
      </w:rPr>
    </w:lvl>
  </w:abstractNum>
  <w:abstractNum w:abstractNumId="14">
    <w:nsid w:val="427F61A6"/>
    <w:multiLevelType w:val="singleLevel"/>
    <w:tmpl w:val="427F61A6"/>
    <w:lvl w:ilvl="0" w:tentative="0">
      <w:start w:val="1"/>
      <w:numFmt w:val="chineseCounting"/>
      <w:suff w:val="nothing"/>
      <w:lvlText w:val="（%1）"/>
      <w:lvlJc w:val="left"/>
      <w:pPr>
        <w:tabs>
          <w:tab w:val="left" w:pos="0"/>
        </w:tabs>
        <w:ind w:left="0" w:firstLine="420"/>
      </w:pPr>
      <w:rPr>
        <w:rFonts w:hint="eastAsia" w:eastAsia="楷体_GB2312"/>
        <w:sz w:val="32"/>
      </w:rPr>
    </w:lvl>
  </w:abstractNum>
  <w:abstractNum w:abstractNumId="15">
    <w:nsid w:val="4A4399A3"/>
    <w:multiLevelType w:val="singleLevel"/>
    <w:tmpl w:val="4A4399A3"/>
    <w:lvl w:ilvl="0" w:tentative="0">
      <w:start w:val="1"/>
      <w:numFmt w:val="chineseCounting"/>
      <w:suff w:val="nothing"/>
      <w:lvlText w:val="（%1）"/>
      <w:lvlJc w:val="left"/>
      <w:pPr>
        <w:tabs>
          <w:tab w:val="left" w:pos="0"/>
        </w:tabs>
        <w:ind w:left="0" w:firstLine="420"/>
      </w:pPr>
      <w:rPr>
        <w:rFonts w:hint="eastAsia" w:ascii="Times New Roman" w:hAnsi="Times New Roman" w:eastAsia="方正楷体简体"/>
        <w:b w:val="0"/>
        <w:sz w:val="32"/>
      </w:rPr>
    </w:lvl>
  </w:abstractNum>
  <w:abstractNum w:abstractNumId="16">
    <w:nsid w:val="55F19552"/>
    <w:multiLevelType w:val="singleLevel"/>
    <w:tmpl w:val="55F19552"/>
    <w:lvl w:ilvl="0" w:tentative="0">
      <w:start w:val="1"/>
      <w:numFmt w:val="chineseCounting"/>
      <w:suff w:val="nothing"/>
      <w:lvlText w:val="（%1）"/>
      <w:lvlJc w:val="left"/>
      <w:pPr>
        <w:tabs>
          <w:tab w:val="left" w:pos="0"/>
        </w:tabs>
        <w:ind w:left="0" w:firstLine="40"/>
      </w:pPr>
      <w:rPr>
        <w:rFonts w:hint="eastAsia" w:ascii="Times New Roman" w:hAnsi="Times New Roman" w:eastAsia="方正楷体简体"/>
        <w:b w:val="0"/>
        <w:sz w:val="32"/>
      </w:rPr>
    </w:lvl>
  </w:abstractNum>
  <w:abstractNum w:abstractNumId="17">
    <w:nsid w:val="598D465C"/>
    <w:multiLevelType w:val="singleLevel"/>
    <w:tmpl w:val="598D465C"/>
    <w:lvl w:ilvl="0" w:tentative="0">
      <w:start w:val="1"/>
      <w:numFmt w:val="chineseCounting"/>
      <w:suff w:val="nothing"/>
      <w:lvlText w:val="（%1）"/>
      <w:lvlJc w:val="left"/>
      <w:pPr>
        <w:tabs>
          <w:tab w:val="left" w:pos="0"/>
        </w:tabs>
        <w:ind w:left="220" w:firstLine="420"/>
      </w:pPr>
      <w:rPr>
        <w:rFonts w:hint="eastAsia" w:ascii="Times New Roman" w:hAnsi="Times New Roman" w:eastAsia="方正楷体简体"/>
        <w:b w:val="0"/>
        <w:sz w:val="32"/>
      </w:rPr>
    </w:lvl>
  </w:abstractNum>
  <w:abstractNum w:abstractNumId="18">
    <w:nsid w:val="685A2628"/>
    <w:multiLevelType w:val="singleLevel"/>
    <w:tmpl w:val="685A2628"/>
    <w:lvl w:ilvl="0" w:tentative="0">
      <w:start w:val="1"/>
      <w:numFmt w:val="chineseCounting"/>
      <w:suff w:val="space"/>
      <w:lvlText w:val="第%1章"/>
      <w:lvlJc w:val="left"/>
      <w:rPr>
        <w:rFonts w:hint="eastAsia" w:ascii="方正小标宋简体" w:eastAsia="方正小标宋简体"/>
      </w:rPr>
    </w:lvl>
  </w:abstractNum>
  <w:abstractNum w:abstractNumId="19">
    <w:nsid w:val="7CE9FF28"/>
    <w:multiLevelType w:val="singleLevel"/>
    <w:tmpl w:val="7CE9FF28"/>
    <w:lvl w:ilvl="0" w:tentative="0">
      <w:start w:val="1"/>
      <w:numFmt w:val="chineseCounting"/>
      <w:suff w:val="nothing"/>
      <w:lvlText w:val="（%1）"/>
      <w:lvlJc w:val="left"/>
      <w:pPr>
        <w:tabs>
          <w:tab w:val="left" w:pos="0"/>
        </w:tabs>
        <w:ind w:left="0" w:firstLine="420"/>
      </w:pPr>
      <w:rPr>
        <w:rFonts w:hint="eastAsia" w:eastAsia="楷体_GB2312"/>
        <w:sz w:val="32"/>
      </w:rPr>
    </w:lvl>
  </w:abstractNum>
  <w:abstractNum w:abstractNumId="20">
    <w:nsid w:val="7CF5FCEF"/>
    <w:multiLevelType w:val="singleLevel"/>
    <w:tmpl w:val="7CF5FCEF"/>
    <w:lvl w:ilvl="0" w:tentative="0">
      <w:start w:val="1"/>
      <w:numFmt w:val="chineseCounting"/>
      <w:suff w:val="nothing"/>
      <w:lvlText w:val="（%1）"/>
      <w:lvlJc w:val="left"/>
      <w:pPr>
        <w:tabs>
          <w:tab w:val="left" w:pos="0"/>
        </w:tabs>
        <w:ind w:left="0" w:firstLine="40"/>
      </w:pPr>
      <w:rPr>
        <w:rFonts w:hint="eastAsia" w:ascii="Times New Roman" w:hAnsi="Times New Roman" w:eastAsia="方正楷体简体"/>
        <w:b w:val="0"/>
        <w:sz w:val="32"/>
      </w:rPr>
    </w:lvl>
  </w:abstractNum>
  <w:num w:numId="1">
    <w:abstractNumId w:val="18"/>
  </w:num>
  <w:num w:numId="2">
    <w:abstractNumId w:val="1"/>
  </w:num>
  <w:num w:numId="3">
    <w:abstractNumId w:val="9"/>
  </w:num>
  <w:num w:numId="4">
    <w:abstractNumId w:val="2"/>
  </w:num>
  <w:num w:numId="5">
    <w:abstractNumId w:val="15"/>
  </w:num>
  <w:num w:numId="6">
    <w:abstractNumId w:val="13"/>
  </w:num>
  <w:num w:numId="7">
    <w:abstractNumId w:val="7"/>
  </w:num>
  <w:num w:numId="8">
    <w:abstractNumId w:val="17"/>
  </w:num>
  <w:num w:numId="9">
    <w:abstractNumId w:val="10"/>
  </w:num>
  <w:num w:numId="10">
    <w:abstractNumId w:val="20"/>
  </w:num>
  <w:num w:numId="11">
    <w:abstractNumId w:val="4"/>
  </w:num>
  <w:num w:numId="12">
    <w:abstractNumId w:val="11"/>
  </w:num>
  <w:num w:numId="13">
    <w:abstractNumId w:val="16"/>
  </w:num>
  <w:num w:numId="14">
    <w:abstractNumId w:val="8"/>
  </w:num>
  <w:num w:numId="15">
    <w:abstractNumId w:val="12"/>
  </w:num>
  <w:num w:numId="16">
    <w:abstractNumId w:val="3"/>
  </w:num>
  <w:num w:numId="17">
    <w:abstractNumId w:val="0"/>
  </w:num>
  <w:num w:numId="18">
    <w:abstractNumId w:val="14"/>
  </w:num>
  <w:num w:numId="19">
    <w:abstractNumId w:val="19"/>
  </w:num>
  <w:num w:numId="20">
    <w:abstractNumId w:val="5"/>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HorizontalSpacing w:val="160"/>
  <w:drawingGridVerticalSpacing w:val="435"/>
  <w:displayHorizontalDrawingGridEvery w:val="2"/>
  <w:noPunctuationKerning w:val="true"/>
  <w:characterSpacingControl w:val="compressPunctuation"/>
  <w:footnotePr>
    <w:footnote w:id="20"/>
    <w:footnote w:id="2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3OWU4MzBhYWFkOTA1OWE4ZTM3OGMyNTk3NTZiNzMifQ=="/>
  </w:docVars>
  <w:rsids>
    <w:rsidRoot w:val="6F62312A"/>
    <w:rsid w:val="0003343B"/>
    <w:rsid w:val="00035448"/>
    <w:rsid w:val="00037531"/>
    <w:rsid w:val="0006478F"/>
    <w:rsid w:val="000A0D84"/>
    <w:rsid w:val="000D7558"/>
    <w:rsid w:val="0011407F"/>
    <w:rsid w:val="00136C0E"/>
    <w:rsid w:val="001B6190"/>
    <w:rsid w:val="002733C5"/>
    <w:rsid w:val="002B1983"/>
    <w:rsid w:val="003A6321"/>
    <w:rsid w:val="003D123B"/>
    <w:rsid w:val="004E78B6"/>
    <w:rsid w:val="005756A6"/>
    <w:rsid w:val="00582791"/>
    <w:rsid w:val="00591E24"/>
    <w:rsid w:val="005C5DE1"/>
    <w:rsid w:val="005D34B6"/>
    <w:rsid w:val="005F388B"/>
    <w:rsid w:val="00672AB8"/>
    <w:rsid w:val="00732A00"/>
    <w:rsid w:val="00765AD8"/>
    <w:rsid w:val="00766DA2"/>
    <w:rsid w:val="00784A7E"/>
    <w:rsid w:val="007A775F"/>
    <w:rsid w:val="00817917"/>
    <w:rsid w:val="00820C76"/>
    <w:rsid w:val="00860DCF"/>
    <w:rsid w:val="00867744"/>
    <w:rsid w:val="00872150"/>
    <w:rsid w:val="0088164E"/>
    <w:rsid w:val="00881A28"/>
    <w:rsid w:val="008B0718"/>
    <w:rsid w:val="008B7E8D"/>
    <w:rsid w:val="009624E8"/>
    <w:rsid w:val="00995D96"/>
    <w:rsid w:val="009C512B"/>
    <w:rsid w:val="00A62562"/>
    <w:rsid w:val="00A77D1D"/>
    <w:rsid w:val="00AC715D"/>
    <w:rsid w:val="00AE0877"/>
    <w:rsid w:val="00B55152"/>
    <w:rsid w:val="00B70913"/>
    <w:rsid w:val="00C90D88"/>
    <w:rsid w:val="00D24FF0"/>
    <w:rsid w:val="00D31589"/>
    <w:rsid w:val="00D761D9"/>
    <w:rsid w:val="00D9637F"/>
    <w:rsid w:val="00DA7E4B"/>
    <w:rsid w:val="00DD1F07"/>
    <w:rsid w:val="00DF3EC8"/>
    <w:rsid w:val="00E60DB2"/>
    <w:rsid w:val="00E72D11"/>
    <w:rsid w:val="00EC08B6"/>
    <w:rsid w:val="00F16862"/>
    <w:rsid w:val="00F61BB6"/>
    <w:rsid w:val="00F862D2"/>
    <w:rsid w:val="00F8648F"/>
    <w:rsid w:val="00FB7AD1"/>
    <w:rsid w:val="00FF0B74"/>
    <w:rsid w:val="01050DE1"/>
    <w:rsid w:val="01086C64"/>
    <w:rsid w:val="01115723"/>
    <w:rsid w:val="01234156"/>
    <w:rsid w:val="01375C25"/>
    <w:rsid w:val="014063FE"/>
    <w:rsid w:val="017244DA"/>
    <w:rsid w:val="01800904"/>
    <w:rsid w:val="0184384F"/>
    <w:rsid w:val="019C6013"/>
    <w:rsid w:val="01BE7DAB"/>
    <w:rsid w:val="01C31E43"/>
    <w:rsid w:val="01F928B5"/>
    <w:rsid w:val="022D24D3"/>
    <w:rsid w:val="022E44A8"/>
    <w:rsid w:val="02712017"/>
    <w:rsid w:val="027F0D55"/>
    <w:rsid w:val="02883947"/>
    <w:rsid w:val="028E3199"/>
    <w:rsid w:val="02B20C4C"/>
    <w:rsid w:val="02CD2E68"/>
    <w:rsid w:val="02CE57EF"/>
    <w:rsid w:val="02D52B76"/>
    <w:rsid w:val="02DF2BED"/>
    <w:rsid w:val="02EF7824"/>
    <w:rsid w:val="02F853AC"/>
    <w:rsid w:val="02F96864"/>
    <w:rsid w:val="0308793A"/>
    <w:rsid w:val="030A4FDB"/>
    <w:rsid w:val="030B47EA"/>
    <w:rsid w:val="03142DB8"/>
    <w:rsid w:val="03312167"/>
    <w:rsid w:val="033B33F3"/>
    <w:rsid w:val="036B7036"/>
    <w:rsid w:val="038829E0"/>
    <w:rsid w:val="03BC24D2"/>
    <w:rsid w:val="03C20DCC"/>
    <w:rsid w:val="03E203E0"/>
    <w:rsid w:val="04416900"/>
    <w:rsid w:val="044260D1"/>
    <w:rsid w:val="044E3527"/>
    <w:rsid w:val="044E5CBA"/>
    <w:rsid w:val="045301F6"/>
    <w:rsid w:val="04565DC8"/>
    <w:rsid w:val="04602C5F"/>
    <w:rsid w:val="0487085C"/>
    <w:rsid w:val="048F1A4F"/>
    <w:rsid w:val="04903AD7"/>
    <w:rsid w:val="04926F71"/>
    <w:rsid w:val="04A2513C"/>
    <w:rsid w:val="04C64E6C"/>
    <w:rsid w:val="04DA4474"/>
    <w:rsid w:val="04DF1A8A"/>
    <w:rsid w:val="04ED23F9"/>
    <w:rsid w:val="04F43969"/>
    <w:rsid w:val="04F72678"/>
    <w:rsid w:val="04FF212C"/>
    <w:rsid w:val="05050E44"/>
    <w:rsid w:val="050614D1"/>
    <w:rsid w:val="054A03AF"/>
    <w:rsid w:val="054D79ED"/>
    <w:rsid w:val="05545FD4"/>
    <w:rsid w:val="05637D6B"/>
    <w:rsid w:val="056E55E8"/>
    <w:rsid w:val="05715BEE"/>
    <w:rsid w:val="05791EDF"/>
    <w:rsid w:val="057F6CA7"/>
    <w:rsid w:val="0582307F"/>
    <w:rsid w:val="05AF5DA3"/>
    <w:rsid w:val="05BA7997"/>
    <w:rsid w:val="05C328E8"/>
    <w:rsid w:val="05E97944"/>
    <w:rsid w:val="05EE25BC"/>
    <w:rsid w:val="05EF5E1B"/>
    <w:rsid w:val="060C68AF"/>
    <w:rsid w:val="061134A7"/>
    <w:rsid w:val="06451DC1"/>
    <w:rsid w:val="064B1088"/>
    <w:rsid w:val="064B3C8D"/>
    <w:rsid w:val="0664493D"/>
    <w:rsid w:val="06826B71"/>
    <w:rsid w:val="068B34B7"/>
    <w:rsid w:val="06A078CD"/>
    <w:rsid w:val="06A27FAC"/>
    <w:rsid w:val="06B9251E"/>
    <w:rsid w:val="06BF1B73"/>
    <w:rsid w:val="06D01FD2"/>
    <w:rsid w:val="06DC524E"/>
    <w:rsid w:val="06E14DA3"/>
    <w:rsid w:val="06E31937"/>
    <w:rsid w:val="06E71838"/>
    <w:rsid w:val="06E72E78"/>
    <w:rsid w:val="07235651"/>
    <w:rsid w:val="072C2F5F"/>
    <w:rsid w:val="072E7BB4"/>
    <w:rsid w:val="074B1E41"/>
    <w:rsid w:val="0754675F"/>
    <w:rsid w:val="077A3CEC"/>
    <w:rsid w:val="077F32F3"/>
    <w:rsid w:val="078C170F"/>
    <w:rsid w:val="07B124B2"/>
    <w:rsid w:val="07BC5ED1"/>
    <w:rsid w:val="07C17B1E"/>
    <w:rsid w:val="07C45F15"/>
    <w:rsid w:val="07CB423E"/>
    <w:rsid w:val="07E77797"/>
    <w:rsid w:val="08107EA6"/>
    <w:rsid w:val="08122176"/>
    <w:rsid w:val="08130225"/>
    <w:rsid w:val="081D2FF5"/>
    <w:rsid w:val="082F2D28"/>
    <w:rsid w:val="08415E6B"/>
    <w:rsid w:val="087015A8"/>
    <w:rsid w:val="08803584"/>
    <w:rsid w:val="08836BD0"/>
    <w:rsid w:val="088649FA"/>
    <w:rsid w:val="08931828"/>
    <w:rsid w:val="08B80F70"/>
    <w:rsid w:val="08BD0334"/>
    <w:rsid w:val="08D10B73"/>
    <w:rsid w:val="08FA6E92"/>
    <w:rsid w:val="09013302"/>
    <w:rsid w:val="09281484"/>
    <w:rsid w:val="093525C0"/>
    <w:rsid w:val="093A67C6"/>
    <w:rsid w:val="09410F65"/>
    <w:rsid w:val="09432D50"/>
    <w:rsid w:val="09572149"/>
    <w:rsid w:val="097D6708"/>
    <w:rsid w:val="09AD2C77"/>
    <w:rsid w:val="09BC683E"/>
    <w:rsid w:val="09D73678"/>
    <w:rsid w:val="09D84692"/>
    <w:rsid w:val="09FE35AA"/>
    <w:rsid w:val="0A112664"/>
    <w:rsid w:val="0A1B3564"/>
    <w:rsid w:val="0A33367C"/>
    <w:rsid w:val="0A3C34DB"/>
    <w:rsid w:val="0A40121D"/>
    <w:rsid w:val="0A422BDD"/>
    <w:rsid w:val="0A4A3E4A"/>
    <w:rsid w:val="0A4E3C02"/>
    <w:rsid w:val="0A570314"/>
    <w:rsid w:val="0A5711B8"/>
    <w:rsid w:val="0A5A18A6"/>
    <w:rsid w:val="0A774497"/>
    <w:rsid w:val="0AAB6940"/>
    <w:rsid w:val="0AD127A3"/>
    <w:rsid w:val="0ADA341F"/>
    <w:rsid w:val="0AEC5875"/>
    <w:rsid w:val="0AEE0C79"/>
    <w:rsid w:val="0B133DC4"/>
    <w:rsid w:val="0B134ED2"/>
    <w:rsid w:val="0B4F5FE9"/>
    <w:rsid w:val="0B5B49CC"/>
    <w:rsid w:val="0B6E3B68"/>
    <w:rsid w:val="0B761175"/>
    <w:rsid w:val="0B8B64C8"/>
    <w:rsid w:val="0B922A09"/>
    <w:rsid w:val="0B987ED9"/>
    <w:rsid w:val="0B9F3D21"/>
    <w:rsid w:val="0BA94BA0"/>
    <w:rsid w:val="0BC145E6"/>
    <w:rsid w:val="0BCF0BE7"/>
    <w:rsid w:val="0BF35A6F"/>
    <w:rsid w:val="0BF57DE5"/>
    <w:rsid w:val="0BF978D5"/>
    <w:rsid w:val="0C01678A"/>
    <w:rsid w:val="0C234952"/>
    <w:rsid w:val="0C252478"/>
    <w:rsid w:val="0C2B423C"/>
    <w:rsid w:val="0C2D57D1"/>
    <w:rsid w:val="0C344DB1"/>
    <w:rsid w:val="0C5965C6"/>
    <w:rsid w:val="0C6D72B6"/>
    <w:rsid w:val="0C704C4A"/>
    <w:rsid w:val="0C8521D7"/>
    <w:rsid w:val="0CA05FA3"/>
    <w:rsid w:val="0CA8604E"/>
    <w:rsid w:val="0CC804D0"/>
    <w:rsid w:val="0CC81C15"/>
    <w:rsid w:val="0CD30B3F"/>
    <w:rsid w:val="0CDA322E"/>
    <w:rsid w:val="0CE642FD"/>
    <w:rsid w:val="0CE97EB6"/>
    <w:rsid w:val="0CEC2F96"/>
    <w:rsid w:val="0CF35FE6"/>
    <w:rsid w:val="0CFC02D8"/>
    <w:rsid w:val="0D0437DD"/>
    <w:rsid w:val="0D13589D"/>
    <w:rsid w:val="0D59629A"/>
    <w:rsid w:val="0D9C49BC"/>
    <w:rsid w:val="0DA4444E"/>
    <w:rsid w:val="0DB25F8E"/>
    <w:rsid w:val="0DB85925"/>
    <w:rsid w:val="0DE80E79"/>
    <w:rsid w:val="0E042561"/>
    <w:rsid w:val="0E124C7E"/>
    <w:rsid w:val="0E1924B1"/>
    <w:rsid w:val="0E2B5D40"/>
    <w:rsid w:val="0E2D0777"/>
    <w:rsid w:val="0E3F078E"/>
    <w:rsid w:val="0E461622"/>
    <w:rsid w:val="0E5174DC"/>
    <w:rsid w:val="0E610A8E"/>
    <w:rsid w:val="0E692DBD"/>
    <w:rsid w:val="0E87566C"/>
    <w:rsid w:val="0E934903"/>
    <w:rsid w:val="0E9746C6"/>
    <w:rsid w:val="0EAE0968"/>
    <w:rsid w:val="0EB47788"/>
    <w:rsid w:val="0EC51CF1"/>
    <w:rsid w:val="0F184820"/>
    <w:rsid w:val="0F1F199A"/>
    <w:rsid w:val="0F483F12"/>
    <w:rsid w:val="0F5544B0"/>
    <w:rsid w:val="0F566DED"/>
    <w:rsid w:val="0F5C4047"/>
    <w:rsid w:val="0F69349E"/>
    <w:rsid w:val="0F6F6D8C"/>
    <w:rsid w:val="0F7D2323"/>
    <w:rsid w:val="0F8F4677"/>
    <w:rsid w:val="0F9B5205"/>
    <w:rsid w:val="0FA062BA"/>
    <w:rsid w:val="0FB170DB"/>
    <w:rsid w:val="0FC65B16"/>
    <w:rsid w:val="0FD541B5"/>
    <w:rsid w:val="0FD91EF8"/>
    <w:rsid w:val="10066310"/>
    <w:rsid w:val="101119EA"/>
    <w:rsid w:val="10140FDD"/>
    <w:rsid w:val="10426404"/>
    <w:rsid w:val="104A1201"/>
    <w:rsid w:val="10593038"/>
    <w:rsid w:val="1092688F"/>
    <w:rsid w:val="10933F9E"/>
    <w:rsid w:val="109B2226"/>
    <w:rsid w:val="109C2D11"/>
    <w:rsid w:val="10D51599"/>
    <w:rsid w:val="10E932A7"/>
    <w:rsid w:val="10FE3912"/>
    <w:rsid w:val="110953DD"/>
    <w:rsid w:val="110B7056"/>
    <w:rsid w:val="11162CD7"/>
    <w:rsid w:val="111F7031"/>
    <w:rsid w:val="112456F2"/>
    <w:rsid w:val="113B78F4"/>
    <w:rsid w:val="11535F5A"/>
    <w:rsid w:val="117D07B2"/>
    <w:rsid w:val="119E5D06"/>
    <w:rsid w:val="11B80A78"/>
    <w:rsid w:val="11BE5610"/>
    <w:rsid w:val="11BF270D"/>
    <w:rsid w:val="11D44FA6"/>
    <w:rsid w:val="11E11C34"/>
    <w:rsid w:val="11F53B2E"/>
    <w:rsid w:val="11FF3B76"/>
    <w:rsid w:val="1218193C"/>
    <w:rsid w:val="1222745A"/>
    <w:rsid w:val="123B5794"/>
    <w:rsid w:val="124C3FA5"/>
    <w:rsid w:val="12521C5F"/>
    <w:rsid w:val="12522DEF"/>
    <w:rsid w:val="127442B8"/>
    <w:rsid w:val="127C7B6F"/>
    <w:rsid w:val="12906AB9"/>
    <w:rsid w:val="12942106"/>
    <w:rsid w:val="129E1AD8"/>
    <w:rsid w:val="12AC3F3B"/>
    <w:rsid w:val="12BA348E"/>
    <w:rsid w:val="12CA5B28"/>
    <w:rsid w:val="12D544CC"/>
    <w:rsid w:val="12EA61CA"/>
    <w:rsid w:val="12ED5CBA"/>
    <w:rsid w:val="131C20FB"/>
    <w:rsid w:val="13436B59"/>
    <w:rsid w:val="13596EAB"/>
    <w:rsid w:val="138D69E1"/>
    <w:rsid w:val="13C06F2A"/>
    <w:rsid w:val="13C62934"/>
    <w:rsid w:val="13C702B9"/>
    <w:rsid w:val="13D75DF6"/>
    <w:rsid w:val="13EE5A41"/>
    <w:rsid w:val="13EF6BBB"/>
    <w:rsid w:val="1453186E"/>
    <w:rsid w:val="145A7E42"/>
    <w:rsid w:val="145B0885"/>
    <w:rsid w:val="147157DB"/>
    <w:rsid w:val="148B45C4"/>
    <w:rsid w:val="14920811"/>
    <w:rsid w:val="149255A2"/>
    <w:rsid w:val="14AE1455"/>
    <w:rsid w:val="14B8791F"/>
    <w:rsid w:val="14C7727D"/>
    <w:rsid w:val="14F47A76"/>
    <w:rsid w:val="14FC0436"/>
    <w:rsid w:val="15001CD4"/>
    <w:rsid w:val="150B2427"/>
    <w:rsid w:val="152F63E7"/>
    <w:rsid w:val="153674A4"/>
    <w:rsid w:val="154716B1"/>
    <w:rsid w:val="154824EB"/>
    <w:rsid w:val="15512530"/>
    <w:rsid w:val="15577F16"/>
    <w:rsid w:val="1564013B"/>
    <w:rsid w:val="156A7299"/>
    <w:rsid w:val="159F14ED"/>
    <w:rsid w:val="15AF6AB5"/>
    <w:rsid w:val="15BF393E"/>
    <w:rsid w:val="15BF5ABE"/>
    <w:rsid w:val="15C92B40"/>
    <w:rsid w:val="15F026CE"/>
    <w:rsid w:val="160E6B88"/>
    <w:rsid w:val="161672D6"/>
    <w:rsid w:val="16180A76"/>
    <w:rsid w:val="161C1C8A"/>
    <w:rsid w:val="162C6AF9"/>
    <w:rsid w:val="16417463"/>
    <w:rsid w:val="165006DF"/>
    <w:rsid w:val="16715732"/>
    <w:rsid w:val="167965EE"/>
    <w:rsid w:val="1684360F"/>
    <w:rsid w:val="169314B8"/>
    <w:rsid w:val="169721C5"/>
    <w:rsid w:val="169D7067"/>
    <w:rsid w:val="16F05D79"/>
    <w:rsid w:val="17006725"/>
    <w:rsid w:val="17030F67"/>
    <w:rsid w:val="170D692B"/>
    <w:rsid w:val="171A5FB8"/>
    <w:rsid w:val="171D0249"/>
    <w:rsid w:val="17335F2C"/>
    <w:rsid w:val="173B5246"/>
    <w:rsid w:val="173E0892"/>
    <w:rsid w:val="174F2A9F"/>
    <w:rsid w:val="175005C5"/>
    <w:rsid w:val="175B2011"/>
    <w:rsid w:val="175B7696"/>
    <w:rsid w:val="17675427"/>
    <w:rsid w:val="17762341"/>
    <w:rsid w:val="17766A4B"/>
    <w:rsid w:val="17822E75"/>
    <w:rsid w:val="178564C1"/>
    <w:rsid w:val="178D3AF2"/>
    <w:rsid w:val="17903BE8"/>
    <w:rsid w:val="179E3B30"/>
    <w:rsid w:val="17D11706"/>
    <w:rsid w:val="17DC2582"/>
    <w:rsid w:val="17E661F9"/>
    <w:rsid w:val="17EA26CF"/>
    <w:rsid w:val="17F16C3F"/>
    <w:rsid w:val="18006267"/>
    <w:rsid w:val="183D58A1"/>
    <w:rsid w:val="18551F44"/>
    <w:rsid w:val="18707171"/>
    <w:rsid w:val="188C5207"/>
    <w:rsid w:val="189A32CD"/>
    <w:rsid w:val="189E2F82"/>
    <w:rsid w:val="18A40BC9"/>
    <w:rsid w:val="18C13529"/>
    <w:rsid w:val="18C65400"/>
    <w:rsid w:val="18CC66EA"/>
    <w:rsid w:val="18DF7E53"/>
    <w:rsid w:val="191C2E55"/>
    <w:rsid w:val="192835A8"/>
    <w:rsid w:val="1946455E"/>
    <w:rsid w:val="195A0E7A"/>
    <w:rsid w:val="195F10A0"/>
    <w:rsid w:val="196842EC"/>
    <w:rsid w:val="196875BD"/>
    <w:rsid w:val="197071DE"/>
    <w:rsid w:val="197B3AE4"/>
    <w:rsid w:val="19832ED4"/>
    <w:rsid w:val="198F1879"/>
    <w:rsid w:val="1992114C"/>
    <w:rsid w:val="199864DA"/>
    <w:rsid w:val="19A757E8"/>
    <w:rsid w:val="19AF7825"/>
    <w:rsid w:val="19DA5718"/>
    <w:rsid w:val="19F7223E"/>
    <w:rsid w:val="19F87200"/>
    <w:rsid w:val="1A0928F8"/>
    <w:rsid w:val="1A172385"/>
    <w:rsid w:val="1A255BC5"/>
    <w:rsid w:val="1A516B2E"/>
    <w:rsid w:val="1A5307C9"/>
    <w:rsid w:val="1A5C2AEA"/>
    <w:rsid w:val="1A646862"/>
    <w:rsid w:val="1A995D8B"/>
    <w:rsid w:val="1ABB3689"/>
    <w:rsid w:val="1ACC720D"/>
    <w:rsid w:val="1AD35795"/>
    <w:rsid w:val="1ADA4D76"/>
    <w:rsid w:val="1AE6196C"/>
    <w:rsid w:val="1AEB3D4E"/>
    <w:rsid w:val="1B2129A5"/>
    <w:rsid w:val="1B503422"/>
    <w:rsid w:val="1B5F527B"/>
    <w:rsid w:val="1B682381"/>
    <w:rsid w:val="1B6F342B"/>
    <w:rsid w:val="1B910733"/>
    <w:rsid w:val="1B954C71"/>
    <w:rsid w:val="1BA41F0C"/>
    <w:rsid w:val="1BAE486E"/>
    <w:rsid w:val="1BAF6202"/>
    <w:rsid w:val="1BBB4BA7"/>
    <w:rsid w:val="1BBC3314"/>
    <w:rsid w:val="1BD854D9"/>
    <w:rsid w:val="1BD943B4"/>
    <w:rsid w:val="1BEA0AC8"/>
    <w:rsid w:val="1C043891"/>
    <w:rsid w:val="1C084D86"/>
    <w:rsid w:val="1C0A462E"/>
    <w:rsid w:val="1C16002F"/>
    <w:rsid w:val="1C163982"/>
    <w:rsid w:val="1C2477ED"/>
    <w:rsid w:val="1C43541C"/>
    <w:rsid w:val="1C4B3AE8"/>
    <w:rsid w:val="1C5823F6"/>
    <w:rsid w:val="1C5B3370"/>
    <w:rsid w:val="1C5B6BBF"/>
    <w:rsid w:val="1C5F0EDA"/>
    <w:rsid w:val="1C7254ED"/>
    <w:rsid w:val="1C8651B5"/>
    <w:rsid w:val="1C8925AF"/>
    <w:rsid w:val="1C9257E9"/>
    <w:rsid w:val="1C962F1E"/>
    <w:rsid w:val="1C9B0535"/>
    <w:rsid w:val="1C9B359A"/>
    <w:rsid w:val="1CAB69CA"/>
    <w:rsid w:val="1CBC64B1"/>
    <w:rsid w:val="1CC41839"/>
    <w:rsid w:val="1CC80FA5"/>
    <w:rsid w:val="1CE52CD5"/>
    <w:rsid w:val="1CF128FA"/>
    <w:rsid w:val="1CFE2569"/>
    <w:rsid w:val="1D0F2891"/>
    <w:rsid w:val="1D2A3135"/>
    <w:rsid w:val="1D4112C2"/>
    <w:rsid w:val="1D604D55"/>
    <w:rsid w:val="1D76667C"/>
    <w:rsid w:val="1D7E3E54"/>
    <w:rsid w:val="1DA13B35"/>
    <w:rsid w:val="1DC73A2F"/>
    <w:rsid w:val="1DCF719F"/>
    <w:rsid w:val="1DE302E1"/>
    <w:rsid w:val="1DF71295"/>
    <w:rsid w:val="1E0651AA"/>
    <w:rsid w:val="1E117898"/>
    <w:rsid w:val="1E164317"/>
    <w:rsid w:val="1E495F9C"/>
    <w:rsid w:val="1E4A3702"/>
    <w:rsid w:val="1E5E0390"/>
    <w:rsid w:val="1E6908EA"/>
    <w:rsid w:val="1E707618"/>
    <w:rsid w:val="1E7E4BB1"/>
    <w:rsid w:val="1E8A5A88"/>
    <w:rsid w:val="1E9D3BAA"/>
    <w:rsid w:val="1EA17076"/>
    <w:rsid w:val="1EB80A1A"/>
    <w:rsid w:val="1EE2572F"/>
    <w:rsid w:val="1EFD0D9E"/>
    <w:rsid w:val="1EFF4DAB"/>
    <w:rsid w:val="1F015B01"/>
    <w:rsid w:val="1F0969B5"/>
    <w:rsid w:val="1F1A1C33"/>
    <w:rsid w:val="1F1C595D"/>
    <w:rsid w:val="1F30765A"/>
    <w:rsid w:val="1F4B31F2"/>
    <w:rsid w:val="1F4E012F"/>
    <w:rsid w:val="1F574BE7"/>
    <w:rsid w:val="1F6B68E4"/>
    <w:rsid w:val="1F856D39"/>
    <w:rsid w:val="1F997DEC"/>
    <w:rsid w:val="1FAD07B4"/>
    <w:rsid w:val="1FB42039"/>
    <w:rsid w:val="1FBC4A4A"/>
    <w:rsid w:val="1FC63B1B"/>
    <w:rsid w:val="1FCD05FF"/>
    <w:rsid w:val="1FCD4EA9"/>
    <w:rsid w:val="1FDA08EF"/>
    <w:rsid w:val="1FE1623A"/>
    <w:rsid w:val="1FEE2D15"/>
    <w:rsid w:val="1FFB71E6"/>
    <w:rsid w:val="1FFF0585"/>
    <w:rsid w:val="201178AE"/>
    <w:rsid w:val="202D05F3"/>
    <w:rsid w:val="20404903"/>
    <w:rsid w:val="204F58BE"/>
    <w:rsid w:val="20563354"/>
    <w:rsid w:val="205D447F"/>
    <w:rsid w:val="205F4E4F"/>
    <w:rsid w:val="20686980"/>
    <w:rsid w:val="20833D38"/>
    <w:rsid w:val="209F64C7"/>
    <w:rsid w:val="20CC642B"/>
    <w:rsid w:val="20D462C5"/>
    <w:rsid w:val="20E26732"/>
    <w:rsid w:val="20E701EC"/>
    <w:rsid w:val="20F6222E"/>
    <w:rsid w:val="20FB77F4"/>
    <w:rsid w:val="2102627E"/>
    <w:rsid w:val="210C37AF"/>
    <w:rsid w:val="21131906"/>
    <w:rsid w:val="211865F8"/>
    <w:rsid w:val="212660C8"/>
    <w:rsid w:val="21967907"/>
    <w:rsid w:val="21A63711"/>
    <w:rsid w:val="21E74AC2"/>
    <w:rsid w:val="21EE46B2"/>
    <w:rsid w:val="21F47F7E"/>
    <w:rsid w:val="21F7125E"/>
    <w:rsid w:val="220E6ED1"/>
    <w:rsid w:val="221A392C"/>
    <w:rsid w:val="221A4DD2"/>
    <w:rsid w:val="222F59A7"/>
    <w:rsid w:val="226F01FC"/>
    <w:rsid w:val="2277734E"/>
    <w:rsid w:val="22871423"/>
    <w:rsid w:val="22B824DB"/>
    <w:rsid w:val="22BD64F7"/>
    <w:rsid w:val="22C97BAA"/>
    <w:rsid w:val="22D34529"/>
    <w:rsid w:val="22E01C7C"/>
    <w:rsid w:val="22E70030"/>
    <w:rsid w:val="22F20D71"/>
    <w:rsid w:val="231D19C5"/>
    <w:rsid w:val="232079E6"/>
    <w:rsid w:val="23370598"/>
    <w:rsid w:val="233F7919"/>
    <w:rsid w:val="235F22BC"/>
    <w:rsid w:val="236970F1"/>
    <w:rsid w:val="237256F5"/>
    <w:rsid w:val="23733FB9"/>
    <w:rsid w:val="239006C7"/>
    <w:rsid w:val="23902CC1"/>
    <w:rsid w:val="23B56B43"/>
    <w:rsid w:val="23DF3667"/>
    <w:rsid w:val="23ED2203"/>
    <w:rsid w:val="23ED5B1A"/>
    <w:rsid w:val="23F70746"/>
    <w:rsid w:val="23FB7844"/>
    <w:rsid w:val="23FC44C7"/>
    <w:rsid w:val="242515DF"/>
    <w:rsid w:val="24252BFD"/>
    <w:rsid w:val="242922B3"/>
    <w:rsid w:val="243F77B5"/>
    <w:rsid w:val="24631694"/>
    <w:rsid w:val="24656D10"/>
    <w:rsid w:val="2471293F"/>
    <w:rsid w:val="24727DCD"/>
    <w:rsid w:val="247872AF"/>
    <w:rsid w:val="24857B00"/>
    <w:rsid w:val="24F247D3"/>
    <w:rsid w:val="24FB5427"/>
    <w:rsid w:val="25014E27"/>
    <w:rsid w:val="25207867"/>
    <w:rsid w:val="253A6372"/>
    <w:rsid w:val="25497F17"/>
    <w:rsid w:val="254F751D"/>
    <w:rsid w:val="255615F2"/>
    <w:rsid w:val="255D0A7D"/>
    <w:rsid w:val="255F4EA4"/>
    <w:rsid w:val="25644E1B"/>
    <w:rsid w:val="25681DCD"/>
    <w:rsid w:val="257F5A40"/>
    <w:rsid w:val="25A91905"/>
    <w:rsid w:val="25D24FC7"/>
    <w:rsid w:val="25EA759C"/>
    <w:rsid w:val="261738DE"/>
    <w:rsid w:val="26180496"/>
    <w:rsid w:val="262133D2"/>
    <w:rsid w:val="26296870"/>
    <w:rsid w:val="26304FBE"/>
    <w:rsid w:val="263D13CC"/>
    <w:rsid w:val="264E6D3B"/>
    <w:rsid w:val="265A6D6B"/>
    <w:rsid w:val="268A3AF4"/>
    <w:rsid w:val="268D5E98"/>
    <w:rsid w:val="269A360B"/>
    <w:rsid w:val="26AF5308"/>
    <w:rsid w:val="26D052C9"/>
    <w:rsid w:val="26D20FF7"/>
    <w:rsid w:val="26EC030B"/>
    <w:rsid w:val="26ED11AC"/>
    <w:rsid w:val="2721482D"/>
    <w:rsid w:val="27257379"/>
    <w:rsid w:val="272829C1"/>
    <w:rsid w:val="272B3F7C"/>
    <w:rsid w:val="27383550"/>
    <w:rsid w:val="27522EAD"/>
    <w:rsid w:val="279A7D67"/>
    <w:rsid w:val="27A9739A"/>
    <w:rsid w:val="27CF0312"/>
    <w:rsid w:val="27D332F1"/>
    <w:rsid w:val="27E16322"/>
    <w:rsid w:val="27F136FF"/>
    <w:rsid w:val="281318C7"/>
    <w:rsid w:val="282615FA"/>
    <w:rsid w:val="282E74DF"/>
    <w:rsid w:val="28581178"/>
    <w:rsid w:val="285C2FFF"/>
    <w:rsid w:val="285C5EAD"/>
    <w:rsid w:val="28706D19"/>
    <w:rsid w:val="2879512B"/>
    <w:rsid w:val="28996D5F"/>
    <w:rsid w:val="28C61C57"/>
    <w:rsid w:val="28D836FA"/>
    <w:rsid w:val="28E2419E"/>
    <w:rsid w:val="28E84B02"/>
    <w:rsid w:val="295C1C3C"/>
    <w:rsid w:val="296F34E0"/>
    <w:rsid w:val="29791BFE"/>
    <w:rsid w:val="29910CF5"/>
    <w:rsid w:val="29AC7E23"/>
    <w:rsid w:val="29B51BED"/>
    <w:rsid w:val="29C1415E"/>
    <w:rsid w:val="29C251CA"/>
    <w:rsid w:val="29CC61D1"/>
    <w:rsid w:val="29F10757"/>
    <w:rsid w:val="29F714A0"/>
    <w:rsid w:val="2A135BAE"/>
    <w:rsid w:val="2A140BEC"/>
    <w:rsid w:val="2A27165A"/>
    <w:rsid w:val="2A455110"/>
    <w:rsid w:val="2A7932A2"/>
    <w:rsid w:val="2A7F0EA9"/>
    <w:rsid w:val="2A832B5A"/>
    <w:rsid w:val="2A834AE2"/>
    <w:rsid w:val="2A886A6B"/>
    <w:rsid w:val="2A8B1789"/>
    <w:rsid w:val="2A8E5DB3"/>
    <w:rsid w:val="2ABA427C"/>
    <w:rsid w:val="2AF13ADA"/>
    <w:rsid w:val="2B0B1642"/>
    <w:rsid w:val="2B1A122A"/>
    <w:rsid w:val="2B2D2106"/>
    <w:rsid w:val="2B601EB4"/>
    <w:rsid w:val="2B9F7B91"/>
    <w:rsid w:val="2BAB77EE"/>
    <w:rsid w:val="2BCF3D57"/>
    <w:rsid w:val="2BD66E93"/>
    <w:rsid w:val="2BE22969"/>
    <w:rsid w:val="2BFB501B"/>
    <w:rsid w:val="2C23156B"/>
    <w:rsid w:val="2C2A7750"/>
    <w:rsid w:val="2C3A38C6"/>
    <w:rsid w:val="2C4047D4"/>
    <w:rsid w:val="2C4C285D"/>
    <w:rsid w:val="2C504E98"/>
    <w:rsid w:val="2C526E62"/>
    <w:rsid w:val="2C5866EB"/>
    <w:rsid w:val="2C6426F1"/>
    <w:rsid w:val="2C712635"/>
    <w:rsid w:val="2C7E7C57"/>
    <w:rsid w:val="2C927751"/>
    <w:rsid w:val="2CB4499F"/>
    <w:rsid w:val="2CDB0AED"/>
    <w:rsid w:val="2CE81574"/>
    <w:rsid w:val="2CE83322"/>
    <w:rsid w:val="2CFB3456"/>
    <w:rsid w:val="2D0637A8"/>
    <w:rsid w:val="2D18609E"/>
    <w:rsid w:val="2D32459D"/>
    <w:rsid w:val="2D3E2F42"/>
    <w:rsid w:val="2D54581C"/>
    <w:rsid w:val="2D54729C"/>
    <w:rsid w:val="2D561059"/>
    <w:rsid w:val="2D574004"/>
    <w:rsid w:val="2D717B43"/>
    <w:rsid w:val="2D8F7F54"/>
    <w:rsid w:val="2D93766B"/>
    <w:rsid w:val="2DBB1EF2"/>
    <w:rsid w:val="2DCD1D2A"/>
    <w:rsid w:val="2DCE18D1"/>
    <w:rsid w:val="2DCF003E"/>
    <w:rsid w:val="2DD52AD1"/>
    <w:rsid w:val="2DEC5A47"/>
    <w:rsid w:val="2E0423DE"/>
    <w:rsid w:val="2E13617D"/>
    <w:rsid w:val="2E177B0D"/>
    <w:rsid w:val="2E2959A0"/>
    <w:rsid w:val="2E2F6D2F"/>
    <w:rsid w:val="2E74278D"/>
    <w:rsid w:val="2E8F3364"/>
    <w:rsid w:val="2EA860E2"/>
    <w:rsid w:val="2EB3280A"/>
    <w:rsid w:val="2EB43CEA"/>
    <w:rsid w:val="2EBA6D4E"/>
    <w:rsid w:val="2EC778F7"/>
    <w:rsid w:val="2ECF3615"/>
    <w:rsid w:val="2F1077B3"/>
    <w:rsid w:val="2F193C67"/>
    <w:rsid w:val="2F5800FF"/>
    <w:rsid w:val="2F5E3C80"/>
    <w:rsid w:val="2F71400A"/>
    <w:rsid w:val="2F7278B6"/>
    <w:rsid w:val="2F76187C"/>
    <w:rsid w:val="2F79035A"/>
    <w:rsid w:val="2F9E5F1A"/>
    <w:rsid w:val="2FA21355"/>
    <w:rsid w:val="2FAF0127"/>
    <w:rsid w:val="2FEE2AAD"/>
    <w:rsid w:val="3002069C"/>
    <w:rsid w:val="300F389F"/>
    <w:rsid w:val="30112B90"/>
    <w:rsid w:val="30206B04"/>
    <w:rsid w:val="3023227B"/>
    <w:rsid w:val="30367E97"/>
    <w:rsid w:val="304765B2"/>
    <w:rsid w:val="30741513"/>
    <w:rsid w:val="3082583C"/>
    <w:rsid w:val="30965D57"/>
    <w:rsid w:val="30C95219"/>
    <w:rsid w:val="30CE282F"/>
    <w:rsid w:val="30DE0A94"/>
    <w:rsid w:val="30E67B79"/>
    <w:rsid w:val="30E707F9"/>
    <w:rsid w:val="30EC2DB7"/>
    <w:rsid w:val="310B40A9"/>
    <w:rsid w:val="310B61B1"/>
    <w:rsid w:val="31144F51"/>
    <w:rsid w:val="311D0381"/>
    <w:rsid w:val="312D1C4B"/>
    <w:rsid w:val="313D3873"/>
    <w:rsid w:val="316D66D3"/>
    <w:rsid w:val="317A06E1"/>
    <w:rsid w:val="317D2A72"/>
    <w:rsid w:val="3192385D"/>
    <w:rsid w:val="31A17F44"/>
    <w:rsid w:val="31B9703B"/>
    <w:rsid w:val="31C12394"/>
    <w:rsid w:val="31F94696"/>
    <w:rsid w:val="3200779C"/>
    <w:rsid w:val="3216261B"/>
    <w:rsid w:val="322C3CB1"/>
    <w:rsid w:val="323D38F3"/>
    <w:rsid w:val="32413C2D"/>
    <w:rsid w:val="324A2389"/>
    <w:rsid w:val="3264169D"/>
    <w:rsid w:val="326E42CA"/>
    <w:rsid w:val="32710530"/>
    <w:rsid w:val="327973E1"/>
    <w:rsid w:val="328544D5"/>
    <w:rsid w:val="32867A34"/>
    <w:rsid w:val="3291620A"/>
    <w:rsid w:val="329C4E84"/>
    <w:rsid w:val="32AA0334"/>
    <w:rsid w:val="32C35464"/>
    <w:rsid w:val="32D66AA2"/>
    <w:rsid w:val="32DA54BB"/>
    <w:rsid w:val="3314147D"/>
    <w:rsid w:val="33332E1D"/>
    <w:rsid w:val="334248D1"/>
    <w:rsid w:val="33467F9A"/>
    <w:rsid w:val="334A7199"/>
    <w:rsid w:val="33504B23"/>
    <w:rsid w:val="33694A91"/>
    <w:rsid w:val="33730803"/>
    <w:rsid w:val="33835B53"/>
    <w:rsid w:val="338D50C3"/>
    <w:rsid w:val="33922727"/>
    <w:rsid w:val="33AB32FB"/>
    <w:rsid w:val="33BF2903"/>
    <w:rsid w:val="33E65B1A"/>
    <w:rsid w:val="33E876AC"/>
    <w:rsid w:val="33F407FF"/>
    <w:rsid w:val="34113E0B"/>
    <w:rsid w:val="34252AD9"/>
    <w:rsid w:val="342A4220"/>
    <w:rsid w:val="34454F45"/>
    <w:rsid w:val="345726EE"/>
    <w:rsid w:val="34691CB9"/>
    <w:rsid w:val="34740A8E"/>
    <w:rsid w:val="34A251B3"/>
    <w:rsid w:val="34A75871"/>
    <w:rsid w:val="34B955A4"/>
    <w:rsid w:val="34CE091C"/>
    <w:rsid w:val="34E020D8"/>
    <w:rsid w:val="34E73EBF"/>
    <w:rsid w:val="35105326"/>
    <w:rsid w:val="351304AA"/>
    <w:rsid w:val="3529272A"/>
    <w:rsid w:val="352D04F7"/>
    <w:rsid w:val="35304202"/>
    <w:rsid w:val="353C4CAC"/>
    <w:rsid w:val="353C656A"/>
    <w:rsid w:val="354E547B"/>
    <w:rsid w:val="35595D72"/>
    <w:rsid w:val="3563485B"/>
    <w:rsid w:val="35BA7826"/>
    <w:rsid w:val="35C42453"/>
    <w:rsid w:val="35CA0775"/>
    <w:rsid w:val="35ED05D6"/>
    <w:rsid w:val="36016CF3"/>
    <w:rsid w:val="360B1025"/>
    <w:rsid w:val="360D3DFA"/>
    <w:rsid w:val="362178A5"/>
    <w:rsid w:val="36517D64"/>
    <w:rsid w:val="3665137F"/>
    <w:rsid w:val="368250EE"/>
    <w:rsid w:val="36884F00"/>
    <w:rsid w:val="369829FD"/>
    <w:rsid w:val="36A7771A"/>
    <w:rsid w:val="36B05FE8"/>
    <w:rsid w:val="36D33110"/>
    <w:rsid w:val="36FB6922"/>
    <w:rsid w:val="3700570C"/>
    <w:rsid w:val="3705539E"/>
    <w:rsid w:val="371C7829"/>
    <w:rsid w:val="371E01A3"/>
    <w:rsid w:val="373D24BC"/>
    <w:rsid w:val="37431C64"/>
    <w:rsid w:val="374B56AE"/>
    <w:rsid w:val="375021F0"/>
    <w:rsid w:val="37645C9B"/>
    <w:rsid w:val="377C2FE5"/>
    <w:rsid w:val="378679C0"/>
    <w:rsid w:val="37B25CBC"/>
    <w:rsid w:val="37C82DFD"/>
    <w:rsid w:val="37CD1A92"/>
    <w:rsid w:val="37E63821"/>
    <w:rsid w:val="37ED41FB"/>
    <w:rsid w:val="37FA5416"/>
    <w:rsid w:val="38006C15"/>
    <w:rsid w:val="381166A9"/>
    <w:rsid w:val="381A387B"/>
    <w:rsid w:val="383A412F"/>
    <w:rsid w:val="38461ED4"/>
    <w:rsid w:val="385B298C"/>
    <w:rsid w:val="385B59FD"/>
    <w:rsid w:val="38747BC2"/>
    <w:rsid w:val="387E2DD0"/>
    <w:rsid w:val="38806B05"/>
    <w:rsid w:val="38830F57"/>
    <w:rsid w:val="389A03B9"/>
    <w:rsid w:val="389C135E"/>
    <w:rsid w:val="38B90269"/>
    <w:rsid w:val="38D34E86"/>
    <w:rsid w:val="38D66725"/>
    <w:rsid w:val="38EA6674"/>
    <w:rsid w:val="38FA58AB"/>
    <w:rsid w:val="38FB4AA4"/>
    <w:rsid w:val="3911775D"/>
    <w:rsid w:val="392A081F"/>
    <w:rsid w:val="392E276F"/>
    <w:rsid w:val="395B4E7C"/>
    <w:rsid w:val="3962620A"/>
    <w:rsid w:val="39676622"/>
    <w:rsid w:val="397D29BD"/>
    <w:rsid w:val="39812B34"/>
    <w:rsid w:val="3986639D"/>
    <w:rsid w:val="398C3287"/>
    <w:rsid w:val="399A2943"/>
    <w:rsid w:val="39A355BE"/>
    <w:rsid w:val="39A9208B"/>
    <w:rsid w:val="39BD39D5"/>
    <w:rsid w:val="39CE641A"/>
    <w:rsid w:val="39DA0D07"/>
    <w:rsid w:val="39E352A9"/>
    <w:rsid w:val="3A091D12"/>
    <w:rsid w:val="3A15620A"/>
    <w:rsid w:val="3A211C22"/>
    <w:rsid w:val="3A2D05C6"/>
    <w:rsid w:val="3A5B4B2D"/>
    <w:rsid w:val="3A695377"/>
    <w:rsid w:val="3A781F17"/>
    <w:rsid w:val="3AA208C6"/>
    <w:rsid w:val="3AEB7533"/>
    <w:rsid w:val="3AF9494C"/>
    <w:rsid w:val="3B037579"/>
    <w:rsid w:val="3B1A05D6"/>
    <w:rsid w:val="3B3134DD"/>
    <w:rsid w:val="3B3868A7"/>
    <w:rsid w:val="3B3B069B"/>
    <w:rsid w:val="3B430836"/>
    <w:rsid w:val="3B514850"/>
    <w:rsid w:val="3B547DD5"/>
    <w:rsid w:val="3B65239D"/>
    <w:rsid w:val="3B984E71"/>
    <w:rsid w:val="3BAC19BF"/>
    <w:rsid w:val="3BF375EE"/>
    <w:rsid w:val="3C1014B7"/>
    <w:rsid w:val="3C14495B"/>
    <w:rsid w:val="3C5B5394"/>
    <w:rsid w:val="3C700C3E"/>
    <w:rsid w:val="3C7722DA"/>
    <w:rsid w:val="3C7724D4"/>
    <w:rsid w:val="3C9506A5"/>
    <w:rsid w:val="3CA73A6A"/>
    <w:rsid w:val="3CC550A6"/>
    <w:rsid w:val="3CD378A2"/>
    <w:rsid w:val="3CDD6185"/>
    <w:rsid w:val="3CED6EB1"/>
    <w:rsid w:val="3CEE7A81"/>
    <w:rsid w:val="3CFB4687"/>
    <w:rsid w:val="3D05734D"/>
    <w:rsid w:val="3D0870C9"/>
    <w:rsid w:val="3D2B2748"/>
    <w:rsid w:val="3D2D0BB1"/>
    <w:rsid w:val="3D346230"/>
    <w:rsid w:val="3D386EEB"/>
    <w:rsid w:val="3D4B1C08"/>
    <w:rsid w:val="3D4B1E01"/>
    <w:rsid w:val="3D5440BC"/>
    <w:rsid w:val="3D597924"/>
    <w:rsid w:val="3D5F13DF"/>
    <w:rsid w:val="3D932E36"/>
    <w:rsid w:val="3D955648"/>
    <w:rsid w:val="3DAC3452"/>
    <w:rsid w:val="3DB50FFF"/>
    <w:rsid w:val="3DBF6A61"/>
    <w:rsid w:val="3DC95BAA"/>
    <w:rsid w:val="3DE25B6C"/>
    <w:rsid w:val="3DE43692"/>
    <w:rsid w:val="3DF064F9"/>
    <w:rsid w:val="3E324690"/>
    <w:rsid w:val="3E4337CF"/>
    <w:rsid w:val="3E580A38"/>
    <w:rsid w:val="3E5A4787"/>
    <w:rsid w:val="3E7964D0"/>
    <w:rsid w:val="3E8B6203"/>
    <w:rsid w:val="3E902BAC"/>
    <w:rsid w:val="3ED3787C"/>
    <w:rsid w:val="3EE55AA8"/>
    <w:rsid w:val="3EE7330B"/>
    <w:rsid w:val="3EF618CF"/>
    <w:rsid w:val="3F1A38CA"/>
    <w:rsid w:val="3F1B2D54"/>
    <w:rsid w:val="3F1F0147"/>
    <w:rsid w:val="3F205E0C"/>
    <w:rsid w:val="3F2D368E"/>
    <w:rsid w:val="3F3851B5"/>
    <w:rsid w:val="3F3B5533"/>
    <w:rsid w:val="3F4D34B9"/>
    <w:rsid w:val="3F517621"/>
    <w:rsid w:val="3F5A1368"/>
    <w:rsid w:val="3F60143E"/>
    <w:rsid w:val="3F67569D"/>
    <w:rsid w:val="3F743AFB"/>
    <w:rsid w:val="3F8A561A"/>
    <w:rsid w:val="3F980BD8"/>
    <w:rsid w:val="3FA70E1B"/>
    <w:rsid w:val="3FAC3866"/>
    <w:rsid w:val="3FC9137D"/>
    <w:rsid w:val="3FE756BB"/>
    <w:rsid w:val="3FFA5CD3"/>
    <w:rsid w:val="3FFC1167"/>
    <w:rsid w:val="400A1D6F"/>
    <w:rsid w:val="40162C78"/>
    <w:rsid w:val="401D0D02"/>
    <w:rsid w:val="40366578"/>
    <w:rsid w:val="404B5C4A"/>
    <w:rsid w:val="404F435C"/>
    <w:rsid w:val="4073389B"/>
    <w:rsid w:val="4073427B"/>
    <w:rsid w:val="40736643"/>
    <w:rsid w:val="407D1B7C"/>
    <w:rsid w:val="408423B5"/>
    <w:rsid w:val="40AE2CE9"/>
    <w:rsid w:val="40BD1AA1"/>
    <w:rsid w:val="40C22810"/>
    <w:rsid w:val="40D84BA6"/>
    <w:rsid w:val="40E37C31"/>
    <w:rsid w:val="40EB2F89"/>
    <w:rsid w:val="40EB3963"/>
    <w:rsid w:val="40EC4E10"/>
    <w:rsid w:val="40FF71D5"/>
    <w:rsid w:val="4105404B"/>
    <w:rsid w:val="41083DAD"/>
    <w:rsid w:val="411E6505"/>
    <w:rsid w:val="41204D79"/>
    <w:rsid w:val="412B5EF9"/>
    <w:rsid w:val="41425747"/>
    <w:rsid w:val="414544E4"/>
    <w:rsid w:val="41544D82"/>
    <w:rsid w:val="41923405"/>
    <w:rsid w:val="41A01FC6"/>
    <w:rsid w:val="41BA429C"/>
    <w:rsid w:val="41C42BF4"/>
    <w:rsid w:val="41DC0AB7"/>
    <w:rsid w:val="41E07C73"/>
    <w:rsid w:val="41F97298"/>
    <w:rsid w:val="4218573D"/>
    <w:rsid w:val="42206D16"/>
    <w:rsid w:val="42220C2D"/>
    <w:rsid w:val="424B3CDF"/>
    <w:rsid w:val="425E4A9B"/>
    <w:rsid w:val="42611755"/>
    <w:rsid w:val="426E4049"/>
    <w:rsid w:val="426E5C20"/>
    <w:rsid w:val="42750D5C"/>
    <w:rsid w:val="42903DE8"/>
    <w:rsid w:val="42A807CF"/>
    <w:rsid w:val="42A85FA0"/>
    <w:rsid w:val="42B42498"/>
    <w:rsid w:val="42B53991"/>
    <w:rsid w:val="42C615B8"/>
    <w:rsid w:val="42C90747"/>
    <w:rsid w:val="42E83C24"/>
    <w:rsid w:val="42FC35E8"/>
    <w:rsid w:val="430D71E7"/>
    <w:rsid w:val="43210EE4"/>
    <w:rsid w:val="43282273"/>
    <w:rsid w:val="4334733D"/>
    <w:rsid w:val="435272F0"/>
    <w:rsid w:val="435C4105"/>
    <w:rsid w:val="43664B49"/>
    <w:rsid w:val="436B215F"/>
    <w:rsid w:val="437D6CE7"/>
    <w:rsid w:val="439E4938"/>
    <w:rsid w:val="43A72E29"/>
    <w:rsid w:val="43C8533B"/>
    <w:rsid w:val="43E3619A"/>
    <w:rsid w:val="43FE2FD4"/>
    <w:rsid w:val="43FF1225"/>
    <w:rsid w:val="4416656F"/>
    <w:rsid w:val="442B4D31"/>
    <w:rsid w:val="44435DCE"/>
    <w:rsid w:val="446A4A28"/>
    <w:rsid w:val="44726DB2"/>
    <w:rsid w:val="447B4624"/>
    <w:rsid w:val="448A32F7"/>
    <w:rsid w:val="448E4357"/>
    <w:rsid w:val="449851D6"/>
    <w:rsid w:val="44A1052F"/>
    <w:rsid w:val="44A571C5"/>
    <w:rsid w:val="44B32010"/>
    <w:rsid w:val="44B36A38"/>
    <w:rsid w:val="44B57B36"/>
    <w:rsid w:val="44BF2763"/>
    <w:rsid w:val="44D206E8"/>
    <w:rsid w:val="44D56D05"/>
    <w:rsid w:val="44D63334"/>
    <w:rsid w:val="44F22B38"/>
    <w:rsid w:val="450C0707"/>
    <w:rsid w:val="450C1DC2"/>
    <w:rsid w:val="45160823"/>
    <w:rsid w:val="45202C14"/>
    <w:rsid w:val="452A63F9"/>
    <w:rsid w:val="452E7299"/>
    <w:rsid w:val="453E18DA"/>
    <w:rsid w:val="454B1D9D"/>
    <w:rsid w:val="455C3502"/>
    <w:rsid w:val="45713D4E"/>
    <w:rsid w:val="45756855"/>
    <w:rsid w:val="45886FF9"/>
    <w:rsid w:val="45961D0D"/>
    <w:rsid w:val="459E54DB"/>
    <w:rsid w:val="45B002FD"/>
    <w:rsid w:val="45BB117C"/>
    <w:rsid w:val="45BB73CE"/>
    <w:rsid w:val="45D41C78"/>
    <w:rsid w:val="45E16709"/>
    <w:rsid w:val="45E40B5A"/>
    <w:rsid w:val="45E77F3E"/>
    <w:rsid w:val="45E966A3"/>
    <w:rsid w:val="461158EF"/>
    <w:rsid w:val="46250CEB"/>
    <w:rsid w:val="4642364B"/>
    <w:rsid w:val="46503187"/>
    <w:rsid w:val="4655330E"/>
    <w:rsid w:val="46565F4A"/>
    <w:rsid w:val="465667F3"/>
    <w:rsid w:val="465E43F7"/>
    <w:rsid w:val="4671348E"/>
    <w:rsid w:val="467D7846"/>
    <w:rsid w:val="46965745"/>
    <w:rsid w:val="469B16CF"/>
    <w:rsid w:val="46A870E2"/>
    <w:rsid w:val="46AA5B18"/>
    <w:rsid w:val="4704289A"/>
    <w:rsid w:val="47046B53"/>
    <w:rsid w:val="471843D8"/>
    <w:rsid w:val="47393ADB"/>
    <w:rsid w:val="47501D98"/>
    <w:rsid w:val="475278BE"/>
    <w:rsid w:val="47596E9F"/>
    <w:rsid w:val="475E1922"/>
    <w:rsid w:val="47835832"/>
    <w:rsid w:val="479B5E3A"/>
    <w:rsid w:val="47AD142B"/>
    <w:rsid w:val="47B86176"/>
    <w:rsid w:val="47CC1918"/>
    <w:rsid w:val="47D6611B"/>
    <w:rsid w:val="47D86407"/>
    <w:rsid w:val="47DD69D0"/>
    <w:rsid w:val="47DF5F94"/>
    <w:rsid w:val="47E0311C"/>
    <w:rsid w:val="4800556C"/>
    <w:rsid w:val="4812704D"/>
    <w:rsid w:val="482374AD"/>
    <w:rsid w:val="482835BC"/>
    <w:rsid w:val="482A083B"/>
    <w:rsid w:val="48343468"/>
    <w:rsid w:val="483F5858"/>
    <w:rsid w:val="4842180D"/>
    <w:rsid w:val="486024AF"/>
    <w:rsid w:val="48634E83"/>
    <w:rsid w:val="48735D3E"/>
    <w:rsid w:val="487439B6"/>
    <w:rsid w:val="4884419E"/>
    <w:rsid w:val="48905111"/>
    <w:rsid w:val="489A72E2"/>
    <w:rsid w:val="48A759E8"/>
    <w:rsid w:val="48B86679"/>
    <w:rsid w:val="48D12A65"/>
    <w:rsid w:val="48E95210"/>
    <w:rsid w:val="4901563B"/>
    <w:rsid w:val="49177011"/>
    <w:rsid w:val="49372552"/>
    <w:rsid w:val="49470F79"/>
    <w:rsid w:val="4983437F"/>
    <w:rsid w:val="49C15D8C"/>
    <w:rsid w:val="49CF169A"/>
    <w:rsid w:val="49D00F6E"/>
    <w:rsid w:val="49E8275C"/>
    <w:rsid w:val="49EE6BCF"/>
    <w:rsid w:val="4A235542"/>
    <w:rsid w:val="4A506E0A"/>
    <w:rsid w:val="4A525E27"/>
    <w:rsid w:val="4A565DC6"/>
    <w:rsid w:val="4A5B6EF1"/>
    <w:rsid w:val="4A626156"/>
    <w:rsid w:val="4A6718D3"/>
    <w:rsid w:val="4A677B24"/>
    <w:rsid w:val="4A6B5554"/>
    <w:rsid w:val="4A6B76DF"/>
    <w:rsid w:val="4A6E1C3B"/>
    <w:rsid w:val="4A7A0770"/>
    <w:rsid w:val="4A823FB9"/>
    <w:rsid w:val="4A8305D2"/>
    <w:rsid w:val="4A864B20"/>
    <w:rsid w:val="4A8835F7"/>
    <w:rsid w:val="4A8C1339"/>
    <w:rsid w:val="4A8F4356"/>
    <w:rsid w:val="4A9B332A"/>
    <w:rsid w:val="4A9D3546"/>
    <w:rsid w:val="4AAD40FF"/>
    <w:rsid w:val="4AB3204C"/>
    <w:rsid w:val="4AD625B4"/>
    <w:rsid w:val="4ADB5A3C"/>
    <w:rsid w:val="4AEB42B2"/>
    <w:rsid w:val="4AFE2BFC"/>
    <w:rsid w:val="4B08477A"/>
    <w:rsid w:val="4B1D01E3"/>
    <w:rsid w:val="4B2C48CA"/>
    <w:rsid w:val="4B2E4E38"/>
    <w:rsid w:val="4B412EDD"/>
    <w:rsid w:val="4B434B00"/>
    <w:rsid w:val="4B5462A3"/>
    <w:rsid w:val="4B5E4A1C"/>
    <w:rsid w:val="4B667DDC"/>
    <w:rsid w:val="4B7E27F2"/>
    <w:rsid w:val="4BC15012"/>
    <w:rsid w:val="4BC468B1"/>
    <w:rsid w:val="4BE156B5"/>
    <w:rsid w:val="4BE21099"/>
    <w:rsid w:val="4BE65C02"/>
    <w:rsid w:val="4BF90C50"/>
    <w:rsid w:val="4C155EBA"/>
    <w:rsid w:val="4C2061DD"/>
    <w:rsid w:val="4C3305A7"/>
    <w:rsid w:val="4C4142D4"/>
    <w:rsid w:val="4C49153A"/>
    <w:rsid w:val="4C6A79F6"/>
    <w:rsid w:val="4C6C2F35"/>
    <w:rsid w:val="4C6F0F12"/>
    <w:rsid w:val="4C6F4A6E"/>
    <w:rsid w:val="4C804ECE"/>
    <w:rsid w:val="4C877E6F"/>
    <w:rsid w:val="4CB32A97"/>
    <w:rsid w:val="4CC75EB6"/>
    <w:rsid w:val="4CD945DE"/>
    <w:rsid w:val="4CE157A6"/>
    <w:rsid w:val="4CED4D41"/>
    <w:rsid w:val="4D0562C2"/>
    <w:rsid w:val="4D0C6761"/>
    <w:rsid w:val="4D4B54DB"/>
    <w:rsid w:val="4D584DA0"/>
    <w:rsid w:val="4D5C6C7A"/>
    <w:rsid w:val="4D692176"/>
    <w:rsid w:val="4D6D6C1A"/>
    <w:rsid w:val="4D795C2D"/>
    <w:rsid w:val="4D7A2F8F"/>
    <w:rsid w:val="4DA16EA9"/>
    <w:rsid w:val="4DB970A7"/>
    <w:rsid w:val="4DBB7A1A"/>
    <w:rsid w:val="4DBC1F35"/>
    <w:rsid w:val="4DBE385E"/>
    <w:rsid w:val="4DEB4D8D"/>
    <w:rsid w:val="4DF23449"/>
    <w:rsid w:val="4DF23B2F"/>
    <w:rsid w:val="4E190FDD"/>
    <w:rsid w:val="4E2F52BE"/>
    <w:rsid w:val="4E3C1596"/>
    <w:rsid w:val="4E3C316C"/>
    <w:rsid w:val="4E5A0DE3"/>
    <w:rsid w:val="4E6F3B45"/>
    <w:rsid w:val="4E720697"/>
    <w:rsid w:val="4E802F63"/>
    <w:rsid w:val="4E8F7D8B"/>
    <w:rsid w:val="4EAB0064"/>
    <w:rsid w:val="4ECD1C0A"/>
    <w:rsid w:val="4EF977A8"/>
    <w:rsid w:val="4F0211E7"/>
    <w:rsid w:val="4F02457F"/>
    <w:rsid w:val="4F1C15AF"/>
    <w:rsid w:val="4F451303"/>
    <w:rsid w:val="4F6F6DF3"/>
    <w:rsid w:val="4F716D4F"/>
    <w:rsid w:val="4F8A787E"/>
    <w:rsid w:val="4F9071D6"/>
    <w:rsid w:val="4FA72771"/>
    <w:rsid w:val="4FC43323"/>
    <w:rsid w:val="4FC51226"/>
    <w:rsid w:val="4FCD667C"/>
    <w:rsid w:val="4FD86DCF"/>
    <w:rsid w:val="4FDF015D"/>
    <w:rsid w:val="4FF73492"/>
    <w:rsid w:val="50255A7A"/>
    <w:rsid w:val="502E69EF"/>
    <w:rsid w:val="502F2E92"/>
    <w:rsid w:val="503264DF"/>
    <w:rsid w:val="503758E4"/>
    <w:rsid w:val="5062383A"/>
    <w:rsid w:val="50B60EBE"/>
    <w:rsid w:val="50CA2BBB"/>
    <w:rsid w:val="50DC1F1B"/>
    <w:rsid w:val="50EC6ED8"/>
    <w:rsid w:val="50EE334B"/>
    <w:rsid w:val="50FE2865"/>
    <w:rsid w:val="5129764C"/>
    <w:rsid w:val="512B7A83"/>
    <w:rsid w:val="513B5867"/>
    <w:rsid w:val="513C4E32"/>
    <w:rsid w:val="517401B7"/>
    <w:rsid w:val="51823BEC"/>
    <w:rsid w:val="519F2BAB"/>
    <w:rsid w:val="51B03B5F"/>
    <w:rsid w:val="51B11685"/>
    <w:rsid w:val="51D51818"/>
    <w:rsid w:val="51E24515"/>
    <w:rsid w:val="51EA6269"/>
    <w:rsid w:val="52071843"/>
    <w:rsid w:val="52285A57"/>
    <w:rsid w:val="52410C5B"/>
    <w:rsid w:val="52484EF9"/>
    <w:rsid w:val="524E3970"/>
    <w:rsid w:val="52644E71"/>
    <w:rsid w:val="527B36A1"/>
    <w:rsid w:val="52854FEC"/>
    <w:rsid w:val="528A0854"/>
    <w:rsid w:val="528E490A"/>
    <w:rsid w:val="52A4148C"/>
    <w:rsid w:val="52B22611"/>
    <w:rsid w:val="52BD0D99"/>
    <w:rsid w:val="52BE1791"/>
    <w:rsid w:val="52C26475"/>
    <w:rsid w:val="52CD5694"/>
    <w:rsid w:val="52D27B05"/>
    <w:rsid w:val="52D64928"/>
    <w:rsid w:val="533846CA"/>
    <w:rsid w:val="533A4B08"/>
    <w:rsid w:val="534419B4"/>
    <w:rsid w:val="53485ABD"/>
    <w:rsid w:val="537D5CC3"/>
    <w:rsid w:val="539A6875"/>
    <w:rsid w:val="539E1985"/>
    <w:rsid w:val="53A72D40"/>
    <w:rsid w:val="53AC5955"/>
    <w:rsid w:val="53B53A44"/>
    <w:rsid w:val="53BE69B8"/>
    <w:rsid w:val="53C57934"/>
    <w:rsid w:val="53C953AC"/>
    <w:rsid w:val="53D43266"/>
    <w:rsid w:val="53DA1AA3"/>
    <w:rsid w:val="54085ED4"/>
    <w:rsid w:val="540B1521"/>
    <w:rsid w:val="541A3860"/>
    <w:rsid w:val="5440540E"/>
    <w:rsid w:val="54447F96"/>
    <w:rsid w:val="545B58E4"/>
    <w:rsid w:val="54665C0F"/>
    <w:rsid w:val="5481495B"/>
    <w:rsid w:val="54866DF9"/>
    <w:rsid w:val="54AC2DEE"/>
    <w:rsid w:val="54BB77C1"/>
    <w:rsid w:val="54C93467"/>
    <w:rsid w:val="54D24859"/>
    <w:rsid w:val="54F31DCB"/>
    <w:rsid w:val="551B42B1"/>
    <w:rsid w:val="55230830"/>
    <w:rsid w:val="5529541D"/>
    <w:rsid w:val="55377C59"/>
    <w:rsid w:val="55466588"/>
    <w:rsid w:val="554B5E99"/>
    <w:rsid w:val="55515659"/>
    <w:rsid w:val="555962BC"/>
    <w:rsid w:val="55715396"/>
    <w:rsid w:val="55E82C2D"/>
    <w:rsid w:val="55FF72A0"/>
    <w:rsid w:val="56040230"/>
    <w:rsid w:val="560D6A3D"/>
    <w:rsid w:val="561D378D"/>
    <w:rsid w:val="562468CA"/>
    <w:rsid w:val="56755377"/>
    <w:rsid w:val="567F013C"/>
    <w:rsid w:val="568F6358"/>
    <w:rsid w:val="56B934B6"/>
    <w:rsid w:val="56C637A1"/>
    <w:rsid w:val="56DB521A"/>
    <w:rsid w:val="56F26E8D"/>
    <w:rsid w:val="56FD3B42"/>
    <w:rsid w:val="571C1417"/>
    <w:rsid w:val="572B7467"/>
    <w:rsid w:val="576C21E1"/>
    <w:rsid w:val="576F2F50"/>
    <w:rsid w:val="57792D3B"/>
    <w:rsid w:val="577B782A"/>
    <w:rsid w:val="578A30A4"/>
    <w:rsid w:val="57916FAA"/>
    <w:rsid w:val="57943AEF"/>
    <w:rsid w:val="57AA6297"/>
    <w:rsid w:val="57C2639A"/>
    <w:rsid w:val="57C9597B"/>
    <w:rsid w:val="5811341B"/>
    <w:rsid w:val="58240E03"/>
    <w:rsid w:val="582B3B89"/>
    <w:rsid w:val="582B54A0"/>
    <w:rsid w:val="583744CE"/>
    <w:rsid w:val="583F4AFD"/>
    <w:rsid w:val="5841105F"/>
    <w:rsid w:val="584912E5"/>
    <w:rsid w:val="5853793A"/>
    <w:rsid w:val="587F71AA"/>
    <w:rsid w:val="58AB32D2"/>
    <w:rsid w:val="58AE4B70"/>
    <w:rsid w:val="58B37943"/>
    <w:rsid w:val="58CD3249"/>
    <w:rsid w:val="58D97E3F"/>
    <w:rsid w:val="590D7AE9"/>
    <w:rsid w:val="591D6825"/>
    <w:rsid w:val="59363F10"/>
    <w:rsid w:val="594342CF"/>
    <w:rsid w:val="59580CAE"/>
    <w:rsid w:val="59835FFD"/>
    <w:rsid w:val="59836FFE"/>
    <w:rsid w:val="59883613"/>
    <w:rsid w:val="599E4D1D"/>
    <w:rsid w:val="59A321FB"/>
    <w:rsid w:val="59C06909"/>
    <w:rsid w:val="59CA417A"/>
    <w:rsid w:val="59CF5ED2"/>
    <w:rsid w:val="59E22D24"/>
    <w:rsid w:val="59E36A9C"/>
    <w:rsid w:val="59FB262E"/>
    <w:rsid w:val="5A1F3AB0"/>
    <w:rsid w:val="5A225816"/>
    <w:rsid w:val="5A2F5EA6"/>
    <w:rsid w:val="5A3C33AE"/>
    <w:rsid w:val="5A4B528B"/>
    <w:rsid w:val="5A725657"/>
    <w:rsid w:val="5A901D62"/>
    <w:rsid w:val="5A9F335A"/>
    <w:rsid w:val="5AAB580B"/>
    <w:rsid w:val="5AB12BD5"/>
    <w:rsid w:val="5AC07181"/>
    <w:rsid w:val="5AEC084E"/>
    <w:rsid w:val="5B0052C4"/>
    <w:rsid w:val="5B0416F3"/>
    <w:rsid w:val="5B0A7F14"/>
    <w:rsid w:val="5B1E7D8B"/>
    <w:rsid w:val="5B4377F2"/>
    <w:rsid w:val="5B487AAE"/>
    <w:rsid w:val="5B527A35"/>
    <w:rsid w:val="5B5A2D8E"/>
    <w:rsid w:val="5B5F5C30"/>
    <w:rsid w:val="5B660B62"/>
    <w:rsid w:val="5B663EDE"/>
    <w:rsid w:val="5B8318F7"/>
    <w:rsid w:val="5B8C73EB"/>
    <w:rsid w:val="5BAC60FC"/>
    <w:rsid w:val="5BAE1417"/>
    <w:rsid w:val="5BB935E1"/>
    <w:rsid w:val="5BC430E6"/>
    <w:rsid w:val="5BD946E4"/>
    <w:rsid w:val="5C0C268E"/>
    <w:rsid w:val="5C0F5926"/>
    <w:rsid w:val="5C12100C"/>
    <w:rsid w:val="5C19350A"/>
    <w:rsid w:val="5C26332C"/>
    <w:rsid w:val="5C2D054B"/>
    <w:rsid w:val="5C34538D"/>
    <w:rsid w:val="5C362034"/>
    <w:rsid w:val="5C416140"/>
    <w:rsid w:val="5C490151"/>
    <w:rsid w:val="5C4D6CC3"/>
    <w:rsid w:val="5C5D2D57"/>
    <w:rsid w:val="5C757E7F"/>
    <w:rsid w:val="5C774185"/>
    <w:rsid w:val="5C961BA3"/>
    <w:rsid w:val="5CA7171A"/>
    <w:rsid w:val="5CDC1CAC"/>
    <w:rsid w:val="5CDD77D2"/>
    <w:rsid w:val="5D015BB7"/>
    <w:rsid w:val="5D33294F"/>
    <w:rsid w:val="5D6F6DD1"/>
    <w:rsid w:val="5D796538"/>
    <w:rsid w:val="5D87728E"/>
    <w:rsid w:val="5DA1138E"/>
    <w:rsid w:val="5DB06C95"/>
    <w:rsid w:val="5DE454DB"/>
    <w:rsid w:val="5DF62D9E"/>
    <w:rsid w:val="5E00212D"/>
    <w:rsid w:val="5E033269"/>
    <w:rsid w:val="5E163363"/>
    <w:rsid w:val="5E2631D3"/>
    <w:rsid w:val="5E302EE7"/>
    <w:rsid w:val="5E5C0303"/>
    <w:rsid w:val="5E65778C"/>
    <w:rsid w:val="5E725D9A"/>
    <w:rsid w:val="5E736160"/>
    <w:rsid w:val="5E7F634A"/>
    <w:rsid w:val="5E825C6B"/>
    <w:rsid w:val="5E8A3F55"/>
    <w:rsid w:val="5E905426"/>
    <w:rsid w:val="5E9E3E06"/>
    <w:rsid w:val="5EAB0FFE"/>
    <w:rsid w:val="5EB35D09"/>
    <w:rsid w:val="5EBB3B43"/>
    <w:rsid w:val="5EC203EE"/>
    <w:rsid w:val="5EDF5A84"/>
    <w:rsid w:val="5EE50BC0"/>
    <w:rsid w:val="5EF534F9"/>
    <w:rsid w:val="5EFF1AA6"/>
    <w:rsid w:val="5F054538"/>
    <w:rsid w:val="5F1E522D"/>
    <w:rsid w:val="5F391E3C"/>
    <w:rsid w:val="5F47265E"/>
    <w:rsid w:val="5F6B5569"/>
    <w:rsid w:val="5F792499"/>
    <w:rsid w:val="5F8B0570"/>
    <w:rsid w:val="5FB07393"/>
    <w:rsid w:val="5FB55B8B"/>
    <w:rsid w:val="5FCB5FF0"/>
    <w:rsid w:val="5FE14398"/>
    <w:rsid w:val="5FFE018B"/>
    <w:rsid w:val="603A3FCE"/>
    <w:rsid w:val="604B13D7"/>
    <w:rsid w:val="60561D75"/>
    <w:rsid w:val="605B29DD"/>
    <w:rsid w:val="605D3104"/>
    <w:rsid w:val="607246D5"/>
    <w:rsid w:val="60771CEC"/>
    <w:rsid w:val="60A003F0"/>
    <w:rsid w:val="60A13526"/>
    <w:rsid w:val="60AC41D9"/>
    <w:rsid w:val="60BB0301"/>
    <w:rsid w:val="60BD3BA3"/>
    <w:rsid w:val="60D31215"/>
    <w:rsid w:val="60EC26DA"/>
    <w:rsid w:val="60FF41BB"/>
    <w:rsid w:val="611063C8"/>
    <w:rsid w:val="613A3445"/>
    <w:rsid w:val="6162474A"/>
    <w:rsid w:val="616E5BE5"/>
    <w:rsid w:val="6172196C"/>
    <w:rsid w:val="61842A95"/>
    <w:rsid w:val="61986FBA"/>
    <w:rsid w:val="61A17149"/>
    <w:rsid w:val="61AC7138"/>
    <w:rsid w:val="61B042EC"/>
    <w:rsid w:val="61BD0C2E"/>
    <w:rsid w:val="61CC0AB0"/>
    <w:rsid w:val="61E231A9"/>
    <w:rsid w:val="61E67129"/>
    <w:rsid w:val="61E807A8"/>
    <w:rsid w:val="620E7634"/>
    <w:rsid w:val="621C1E2D"/>
    <w:rsid w:val="623A5A30"/>
    <w:rsid w:val="62702147"/>
    <w:rsid w:val="62784D8F"/>
    <w:rsid w:val="628726BA"/>
    <w:rsid w:val="62912B61"/>
    <w:rsid w:val="629A75EE"/>
    <w:rsid w:val="62AE7761"/>
    <w:rsid w:val="62BC4C80"/>
    <w:rsid w:val="62C24D3B"/>
    <w:rsid w:val="62C751AC"/>
    <w:rsid w:val="62C81B36"/>
    <w:rsid w:val="62F67000"/>
    <w:rsid w:val="62FC48E7"/>
    <w:rsid w:val="630E00E8"/>
    <w:rsid w:val="630E20CD"/>
    <w:rsid w:val="631F6950"/>
    <w:rsid w:val="6360669F"/>
    <w:rsid w:val="63666A5B"/>
    <w:rsid w:val="639E7BA4"/>
    <w:rsid w:val="63C8576A"/>
    <w:rsid w:val="63E61662"/>
    <w:rsid w:val="63EE2B8D"/>
    <w:rsid w:val="641B51E0"/>
    <w:rsid w:val="641B6CFA"/>
    <w:rsid w:val="642108EC"/>
    <w:rsid w:val="642B3519"/>
    <w:rsid w:val="644B359E"/>
    <w:rsid w:val="644C1F76"/>
    <w:rsid w:val="64774315"/>
    <w:rsid w:val="64A431A0"/>
    <w:rsid w:val="64B47F46"/>
    <w:rsid w:val="64BB489D"/>
    <w:rsid w:val="64E22C61"/>
    <w:rsid w:val="64FA431B"/>
    <w:rsid w:val="6503462D"/>
    <w:rsid w:val="651D0372"/>
    <w:rsid w:val="652336C9"/>
    <w:rsid w:val="652C7549"/>
    <w:rsid w:val="653A2EAE"/>
    <w:rsid w:val="65521EDF"/>
    <w:rsid w:val="655C6080"/>
    <w:rsid w:val="65841133"/>
    <w:rsid w:val="658D0149"/>
    <w:rsid w:val="65956E9C"/>
    <w:rsid w:val="65AC2438"/>
    <w:rsid w:val="65C34DA0"/>
    <w:rsid w:val="65E32ED0"/>
    <w:rsid w:val="65EE47FE"/>
    <w:rsid w:val="65FA13F5"/>
    <w:rsid w:val="6610185E"/>
    <w:rsid w:val="66346726"/>
    <w:rsid w:val="66482351"/>
    <w:rsid w:val="66525553"/>
    <w:rsid w:val="666357FD"/>
    <w:rsid w:val="668D371B"/>
    <w:rsid w:val="66A61B1B"/>
    <w:rsid w:val="66B27F22"/>
    <w:rsid w:val="66BE43F7"/>
    <w:rsid w:val="66DF7598"/>
    <w:rsid w:val="66F02494"/>
    <w:rsid w:val="67053DBA"/>
    <w:rsid w:val="67272947"/>
    <w:rsid w:val="673414E6"/>
    <w:rsid w:val="673D3C58"/>
    <w:rsid w:val="675C4B29"/>
    <w:rsid w:val="67605412"/>
    <w:rsid w:val="67605A74"/>
    <w:rsid w:val="67663096"/>
    <w:rsid w:val="6770726A"/>
    <w:rsid w:val="67793078"/>
    <w:rsid w:val="678030A9"/>
    <w:rsid w:val="679F1B52"/>
    <w:rsid w:val="67C648EF"/>
    <w:rsid w:val="67D53EC8"/>
    <w:rsid w:val="67E2063A"/>
    <w:rsid w:val="680251E7"/>
    <w:rsid w:val="68034A02"/>
    <w:rsid w:val="6809591F"/>
    <w:rsid w:val="681676DB"/>
    <w:rsid w:val="68214A21"/>
    <w:rsid w:val="684B418A"/>
    <w:rsid w:val="68625787"/>
    <w:rsid w:val="686446FF"/>
    <w:rsid w:val="687C0CA3"/>
    <w:rsid w:val="688A5A64"/>
    <w:rsid w:val="688E2D85"/>
    <w:rsid w:val="68907DEF"/>
    <w:rsid w:val="68A37B22"/>
    <w:rsid w:val="68B63F82"/>
    <w:rsid w:val="68BF65E6"/>
    <w:rsid w:val="68CA1C45"/>
    <w:rsid w:val="68CC0F70"/>
    <w:rsid w:val="68CC4C6C"/>
    <w:rsid w:val="68CF1360"/>
    <w:rsid w:val="68D05A0D"/>
    <w:rsid w:val="68D5271C"/>
    <w:rsid w:val="68D903E9"/>
    <w:rsid w:val="68DF6F4F"/>
    <w:rsid w:val="68E02D96"/>
    <w:rsid w:val="68E65673"/>
    <w:rsid w:val="690954AF"/>
    <w:rsid w:val="69143AB3"/>
    <w:rsid w:val="69186B26"/>
    <w:rsid w:val="6921028E"/>
    <w:rsid w:val="69227936"/>
    <w:rsid w:val="693E0411"/>
    <w:rsid w:val="694766FF"/>
    <w:rsid w:val="694C01BA"/>
    <w:rsid w:val="695452C0"/>
    <w:rsid w:val="696104E2"/>
    <w:rsid w:val="697F058F"/>
    <w:rsid w:val="69EF74A1"/>
    <w:rsid w:val="69F16BE7"/>
    <w:rsid w:val="69F543AD"/>
    <w:rsid w:val="6A061A2C"/>
    <w:rsid w:val="6A0A7850"/>
    <w:rsid w:val="6A0C7949"/>
    <w:rsid w:val="6A116D0D"/>
    <w:rsid w:val="6A2922A9"/>
    <w:rsid w:val="6A4E4119"/>
    <w:rsid w:val="6A4E7F61"/>
    <w:rsid w:val="6A7259FE"/>
    <w:rsid w:val="6A80557D"/>
    <w:rsid w:val="6A823BA4"/>
    <w:rsid w:val="6AAD193B"/>
    <w:rsid w:val="6AB26742"/>
    <w:rsid w:val="6AB72A3F"/>
    <w:rsid w:val="6AC81AC2"/>
    <w:rsid w:val="6ACF3685"/>
    <w:rsid w:val="6AED58DE"/>
    <w:rsid w:val="6B011E22"/>
    <w:rsid w:val="6B096BC6"/>
    <w:rsid w:val="6B1B626D"/>
    <w:rsid w:val="6B1E3AC1"/>
    <w:rsid w:val="6B526C39"/>
    <w:rsid w:val="6B5C26D6"/>
    <w:rsid w:val="6B625A72"/>
    <w:rsid w:val="6B7B3CF2"/>
    <w:rsid w:val="6B7C0996"/>
    <w:rsid w:val="6B826114"/>
    <w:rsid w:val="6BC42476"/>
    <w:rsid w:val="6BD9731C"/>
    <w:rsid w:val="6BE51D9B"/>
    <w:rsid w:val="6C061F17"/>
    <w:rsid w:val="6C164AAF"/>
    <w:rsid w:val="6C172D01"/>
    <w:rsid w:val="6C2076DB"/>
    <w:rsid w:val="6C286174"/>
    <w:rsid w:val="6C3504E8"/>
    <w:rsid w:val="6C377A61"/>
    <w:rsid w:val="6C575E5C"/>
    <w:rsid w:val="6C6802CF"/>
    <w:rsid w:val="6C6D2420"/>
    <w:rsid w:val="6C7517D5"/>
    <w:rsid w:val="6C7C6E44"/>
    <w:rsid w:val="6C920CDA"/>
    <w:rsid w:val="6C9F4AA4"/>
    <w:rsid w:val="6CBC5515"/>
    <w:rsid w:val="6CC45CF8"/>
    <w:rsid w:val="6CC71C9B"/>
    <w:rsid w:val="6CC773FD"/>
    <w:rsid w:val="6CCA5359"/>
    <w:rsid w:val="6CD5141E"/>
    <w:rsid w:val="6CD90B81"/>
    <w:rsid w:val="6CD932D6"/>
    <w:rsid w:val="6CE55BAA"/>
    <w:rsid w:val="6CEF6B68"/>
    <w:rsid w:val="6D110AEC"/>
    <w:rsid w:val="6D125276"/>
    <w:rsid w:val="6D1F3B58"/>
    <w:rsid w:val="6D254FA9"/>
    <w:rsid w:val="6D5A252F"/>
    <w:rsid w:val="6D6238A5"/>
    <w:rsid w:val="6D7101EF"/>
    <w:rsid w:val="6D8E0853"/>
    <w:rsid w:val="6D996ACE"/>
    <w:rsid w:val="6DA714D3"/>
    <w:rsid w:val="6DBE3D4F"/>
    <w:rsid w:val="6DD42C30"/>
    <w:rsid w:val="6E182D60"/>
    <w:rsid w:val="6E203186"/>
    <w:rsid w:val="6E242F75"/>
    <w:rsid w:val="6E410785"/>
    <w:rsid w:val="6E70580F"/>
    <w:rsid w:val="6E8B1A31"/>
    <w:rsid w:val="6E963951"/>
    <w:rsid w:val="6E963C85"/>
    <w:rsid w:val="6E99170B"/>
    <w:rsid w:val="6EB505AF"/>
    <w:rsid w:val="6EC72090"/>
    <w:rsid w:val="6ED0363B"/>
    <w:rsid w:val="6EDE1A70"/>
    <w:rsid w:val="6EED0005"/>
    <w:rsid w:val="6EF17036"/>
    <w:rsid w:val="6F200155"/>
    <w:rsid w:val="6F2B722E"/>
    <w:rsid w:val="6F4C4551"/>
    <w:rsid w:val="6F62312A"/>
    <w:rsid w:val="6F671B3D"/>
    <w:rsid w:val="6F6A3147"/>
    <w:rsid w:val="6F6B5112"/>
    <w:rsid w:val="6F8F0AE3"/>
    <w:rsid w:val="6FA81EC2"/>
    <w:rsid w:val="6FC1682D"/>
    <w:rsid w:val="6FCB1214"/>
    <w:rsid w:val="6FD77D9E"/>
    <w:rsid w:val="6FE729EA"/>
    <w:rsid w:val="6FE74798"/>
    <w:rsid w:val="6FF3138F"/>
    <w:rsid w:val="70144C5B"/>
    <w:rsid w:val="70357BF9"/>
    <w:rsid w:val="705F354A"/>
    <w:rsid w:val="70647FFA"/>
    <w:rsid w:val="70766D6E"/>
    <w:rsid w:val="708E6B1B"/>
    <w:rsid w:val="709546DB"/>
    <w:rsid w:val="70A56D18"/>
    <w:rsid w:val="70B153F5"/>
    <w:rsid w:val="70C248FC"/>
    <w:rsid w:val="70C56ECF"/>
    <w:rsid w:val="70D47483"/>
    <w:rsid w:val="70D552E3"/>
    <w:rsid w:val="70EA56D2"/>
    <w:rsid w:val="70EB02B8"/>
    <w:rsid w:val="70FF3D63"/>
    <w:rsid w:val="710B2708"/>
    <w:rsid w:val="710D52B4"/>
    <w:rsid w:val="712F6AEC"/>
    <w:rsid w:val="713D00F0"/>
    <w:rsid w:val="71463740"/>
    <w:rsid w:val="715045BF"/>
    <w:rsid w:val="715E0D55"/>
    <w:rsid w:val="71AF373C"/>
    <w:rsid w:val="71B01FF6"/>
    <w:rsid w:val="71B6058F"/>
    <w:rsid w:val="71B760CC"/>
    <w:rsid w:val="71CD5C10"/>
    <w:rsid w:val="71E116BB"/>
    <w:rsid w:val="71ED62B2"/>
    <w:rsid w:val="71F118FE"/>
    <w:rsid w:val="71F15DA2"/>
    <w:rsid w:val="720A29C0"/>
    <w:rsid w:val="72190122"/>
    <w:rsid w:val="723B526F"/>
    <w:rsid w:val="72541E8D"/>
    <w:rsid w:val="72620F74"/>
    <w:rsid w:val="727B38BE"/>
    <w:rsid w:val="727D464C"/>
    <w:rsid w:val="72B8066E"/>
    <w:rsid w:val="72CF5D82"/>
    <w:rsid w:val="72D36D23"/>
    <w:rsid w:val="72E94CCB"/>
    <w:rsid w:val="73024545"/>
    <w:rsid w:val="730770C2"/>
    <w:rsid w:val="73165394"/>
    <w:rsid w:val="7322274A"/>
    <w:rsid w:val="733674A4"/>
    <w:rsid w:val="73770C76"/>
    <w:rsid w:val="73895D97"/>
    <w:rsid w:val="73AA0BD6"/>
    <w:rsid w:val="73B17AD3"/>
    <w:rsid w:val="73C000A0"/>
    <w:rsid w:val="73CB5597"/>
    <w:rsid w:val="73CD3B6C"/>
    <w:rsid w:val="73D06243"/>
    <w:rsid w:val="73F90F3E"/>
    <w:rsid w:val="73F97B50"/>
    <w:rsid w:val="73FB2AD1"/>
    <w:rsid w:val="73FF5865"/>
    <w:rsid w:val="740A314B"/>
    <w:rsid w:val="740A56C4"/>
    <w:rsid w:val="740D381B"/>
    <w:rsid w:val="742C1313"/>
    <w:rsid w:val="74416BE5"/>
    <w:rsid w:val="744745EA"/>
    <w:rsid w:val="744877CF"/>
    <w:rsid w:val="74575C64"/>
    <w:rsid w:val="747736B0"/>
    <w:rsid w:val="7480340D"/>
    <w:rsid w:val="748B1920"/>
    <w:rsid w:val="749649DF"/>
    <w:rsid w:val="74A757B3"/>
    <w:rsid w:val="74C27582"/>
    <w:rsid w:val="74C74B98"/>
    <w:rsid w:val="74D46D35"/>
    <w:rsid w:val="74E92D60"/>
    <w:rsid w:val="74F11FB5"/>
    <w:rsid w:val="75091CE1"/>
    <w:rsid w:val="750C4CA1"/>
    <w:rsid w:val="7516167C"/>
    <w:rsid w:val="753C7334"/>
    <w:rsid w:val="75475CD9"/>
    <w:rsid w:val="7550781C"/>
    <w:rsid w:val="7556166A"/>
    <w:rsid w:val="7577036C"/>
    <w:rsid w:val="75951F21"/>
    <w:rsid w:val="75A931CA"/>
    <w:rsid w:val="75B01AD0"/>
    <w:rsid w:val="75BC505D"/>
    <w:rsid w:val="75C2290A"/>
    <w:rsid w:val="75C4732A"/>
    <w:rsid w:val="75CE4049"/>
    <w:rsid w:val="75D117FE"/>
    <w:rsid w:val="75E23F2A"/>
    <w:rsid w:val="76094CAB"/>
    <w:rsid w:val="761D76A3"/>
    <w:rsid w:val="763D3295"/>
    <w:rsid w:val="764F654C"/>
    <w:rsid w:val="767D7DB3"/>
    <w:rsid w:val="76845266"/>
    <w:rsid w:val="768F5B89"/>
    <w:rsid w:val="7694072F"/>
    <w:rsid w:val="76A45CEF"/>
    <w:rsid w:val="76A54AB6"/>
    <w:rsid w:val="76AC047E"/>
    <w:rsid w:val="76AD7177"/>
    <w:rsid w:val="76B63B2B"/>
    <w:rsid w:val="76C32C9E"/>
    <w:rsid w:val="76C50118"/>
    <w:rsid w:val="76C82718"/>
    <w:rsid w:val="76CF0D55"/>
    <w:rsid w:val="76D80ADA"/>
    <w:rsid w:val="76EC3154"/>
    <w:rsid w:val="771F0CBB"/>
    <w:rsid w:val="77455404"/>
    <w:rsid w:val="7752340A"/>
    <w:rsid w:val="77556C0B"/>
    <w:rsid w:val="776C7C79"/>
    <w:rsid w:val="777A3211"/>
    <w:rsid w:val="77AE0291"/>
    <w:rsid w:val="77B3208A"/>
    <w:rsid w:val="77CB2BF1"/>
    <w:rsid w:val="77E14497"/>
    <w:rsid w:val="77F3005E"/>
    <w:rsid w:val="780659D7"/>
    <w:rsid w:val="780D320A"/>
    <w:rsid w:val="78106CEB"/>
    <w:rsid w:val="781A76D5"/>
    <w:rsid w:val="7823178F"/>
    <w:rsid w:val="78240B46"/>
    <w:rsid w:val="7825373A"/>
    <w:rsid w:val="78266F97"/>
    <w:rsid w:val="78276D9F"/>
    <w:rsid w:val="78342E99"/>
    <w:rsid w:val="785C5131"/>
    <w:rsid w:val="785E3A65"/>
    <w:rsid w:val="785F12ED"/>
    <w:rsid w:val="7863107C"/>
    <w:rsid w:val="786D3CA8"/>
    <w:rsid w:val="786E59C0"/>
    <w:rsid w:val="787C3EEC"/>
    <w:rsid w:val="788334CC"/>
    <w:rsid w:val="788D2637"/>
    <w:rsid w:val="78CB5419"/>
    <w:rsid w:val="78D05CD1"/>
    <w:rsid w:val="78DB3308"/>
    <w:rsid w:val="792F53F9"/>
    <w:rsid w:val="7936053E"/>
    <w:rsid w:val="794B223C"/>
    <w:rsid w:val="794E7636"/>
    <w:rsid w:val="794F75FA"/>
    <w:rsid w:val="7956298E"/>
    <w:rsid w:val="795F6B4B"/>
    <w:rsid w:val="79660339"/>
    <w:rsid w:val="79686B2F"/>
    <w:rsid w:val="796B5421"/>
    <w:rsid w:val="797B18B2"/>
    <w:rsid w:val="797F0137"/>
    <w:rsid w:val="79817A0B"/>
    <w:rsid w:val="798710F5"/>
    <w:rsid w:val="7997722F"/>
    <w:rsid w:val="799835DC"/>
    <w:rsid w:val="799B65F3"/>
    <w:rsid w:val="79AF419D"/>
    <w:rsid w:val="79BF5D64"/>
    <w:rsid w:val="79C60A4C"/>
    <w:rsid w:val="79F91C98"/>
    <w:rsid w:val="7A002417"/>
    <w:rsid w:val="7A0C07E7"/>
    <w:rsid w:val="7A0D27D6"/>
    <w:rsid w:val="7A2D1DA6"/>
    <w:rsid w:val="7A2E18AA"/>
    <w:rsid w:val="7A2F7543"/>
    <w:rsid w:val="7A344A7E"/>
    <w:rsid w:val="7A3B2B65"/>
    <w:rsid w:val="7A4D0698"/>
    <w:rsid w:val="7A4D5484"/>
    <w:rsid w:val="7A6211D8"/>
    <w:rsid w:val="7A6D4434"/>
    <w:rsid w:val="7A8C4271"/>
    <w:rsid w:val="7A940B12"/>
    <w:rsid w:val="7ADE2C3C"/>
    <w:rsid w:val="7AE00762"/>
    <w:rsid w:val="7AE04ED2"/>
    <w:rsid w:val="7AF64429"/>
    <w:rsid w:val="7AF822A3"/>
    <w:rsid w:val="7AFB37ED"/>
    <w:rsid w:val="7B173822"/>
    <w:rsid w:val="7B1E7BA3"/>
    <w:rsid w:val="7B3862C3"/>
    <w:rsid w:val="7B3B1C41"/>
    <w:rsid w:val="7B3C4FFE"/>
    <w:rsid w:val="7B6F6FFC"/>
    <w:rsid w:val="7B7C1788"/>
    <w:rsid w:val="7BC65900"/>
    <w:rsid w:val="7BE94563"/>
    <w:rsid w:val="7BEB64DA"/>
    <w:rsid w:val="7BF74110"/>
    <w:rsid w:val="7C066A45"/>
    <w:rsid w:val="7C095853"/>
    <w:rsid w:val="7C227DD2"/>
    <w:rsid w:val="7C4C4570"/>
    <w:rsid w:val="7C580C30"/>
    <w:rsid w:val="7C5F1B07"/>
    <w:rsid w:val="7C6158D2"/>
    <w:rsid w:val="7C66113B"/>
    <w:rsid w:val="7C72188D"/>
    <w:rsid w:val="7CC850D4"/>
    <w:rsid w:val="7CCA16C9"/>
    <w:rsid w:val="7CCB73EF"/>
    <w:rsid w:val="7CDC13FD"/>
    <w:rsid w:val="7D034BDB"/>
    <w:rsid w:val="7D041C83"/>
    <w:rsid w:val="7D1E1A15"/>
    <w:rsid w:val="7D3D0097"/>
    <w:rsid w:val="7D4E40A8"/>
    <w:rsid w:val="7D594478"/>
    <w:rsid w:val="7D6E2D8F"/>
    <w:rsid w:val="7D72081C"/>
    <w:rsid w:val="7D791825"/>
    <w:rsid w:val="7D941EF4"/>
    <w:rsid w:val="7D9F2B56"/>
    <w:rsid w:val="7DC6187B"/>
    <w:rsid w:val="7E0B01EB"/>
    <w:rsid w:val="7E5F4093"/>
    <w:rsid w:val="7E6E2528"/>
    <w:rsid w:val="7E8369E0"/>
    <w:rsid w:val="7EA92DD7"/>
    <w:rsid w:val="7EB23F30"/>
    <w:rsid w:val="7EE84089"/>
    <w:rsid w:val="7EEF5417"/>
    <w:rsid w:val="7EF942ED"/>
    <w:rsid w:val="7F01514B"/>
    <w:rsid w:val="7F121106"/>
    <w:rsid w:val="7F1F43C7"/>
    <w:rsid w:val="7F1F5DD5"/>
    <w:rsid w:val="7F442685"/>
    <w:rsid w:val="7F4F235A"/>
    <w:rsid w:val="7FA517A8"/>
    <w:rsid w:val="7FAA18F1"/>
    <w:rsid w:val="7FBB179D"/>
    <w:rsid w:val="7FC07B2A"/>
    <w:rsid w:val="7FD41965"/>
    <w:rsid w:val="7FE97B3F"/>
    <w:rsid w:val="7FFE7BF4"/>
    <w:rsid w:val="8B3FFD34"/>
    <w:rsid w:val="BFD79951"/>
    <w:rsid w:val="FFB08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420" w:firstLineChars="200"/>
      <w:jc w:val="both"/>
    </w:pPr>
    <w:rPr>
      <w:rFonts w:ascii="Times New Roman" w:hAnsi="Times New Roman" w:eastAsia="仿宋_GB2312" w:cstheme="minorBidi"/>
      <w:kern w:val="2"/>
      <w:sz w:val="32"/>
      <w:szCs w:val="24"/>
      <w:lang w:val="en-US" w:eastAsia="zh-CN" w:bidi="ar-SA"/>
    </w:rPr>
  </w:style>
  <w:style w:type="paragraph" w:styleId="3">
    <w:name w:val="heading 1"/>
    <w:basedOn w:val="1"/>
    <w:next w:val="1"/>
    <w:qFormat/>
    <w:uiPriority w:val="0"/>
    <w:pPr>
      <w:keepNext/>
      <w:keepLines/>
      <w:ind w:firstLine="0" w:firstLineChars="0"/>
      <w:jc w:val="center"/>
      <w:outlineLvl w:val="0"/>
    </w:pPr>
    <w:rPr>
      <w:rFonts w:eastAsia="黑体"/>
      <w:kern w:val="44"/>
    </w:rPr>
  </w:style>
  <w:style w:type="paragraph" w:styleId="4">
    <w:name w:val="heading 2"/>
    <w:basedOn w:val="1"/>
    <w:next w:val="1"/>
    <w:unhideWhenUsed/>
    <w:qFormat/>
    <w:uiPriority w:val="0"/>
    <w:pPr>
      <w:keepNext/>
      <w:keepLines/>
      <w:spacing w:before="100" w:beforeLines="100"/>
      <w:ind w:firstLine="0" w:firstLineChars="0"/>
      <w:jc w:val="center"/>
      <w:outlineLvl w:val="1"/>
    </w:pPr>
    <w:rPr>
      <w:rFonts w:ascii="Arial" w:hAnsi="Arial" w:eastAsia="楷体_GB2312"/>
    </w:rPr>
  </w:style>
  <w:style w:type="paragraph" w:styleId="5">
    <w:name w:val="heading 3"/>
    <w:basedOn w:val="1"/>
    <w:next w:val="1"/>
    <w:unhideWhenUsed/>
    <w:qFormat/>
    <w:uiPriority w:val="0"/>
    <w:pPr>
      <w:keepNext/>
      <w:keepLines/>
      <w:spacing w:before="260" w:after="260" w:line="413" w:lineRule="auto"/>
      <w:outlineLvl w:val="2"/>
    </w:pPr>
    <w:rPr>
      <w:b/>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customStyle="1" w:styleId="2">
    <w:name w:val="_Style 5"/>
    <w:qFormat/>
    <w:uiPriority w:val="0"/>
    <w:pPr>
      <w:widowControl w:val="0"/>
      <w:ind w:firstLine="200" w:firstLineChars="200"/>
      <w:jc w:val="both"/>
    </w:pPr>
    <w:rPr>
      <w:rFonts w:ascii="Times New Roman" w:hAnsi="Times New Roman" w:eastAsia="宋体" w:cs="宋体"/>
      <w:kern w:val="2"/>
      <w:sz w:val="24"/>
      <w:szCs w:val="22"/>
      <w:lang w:val="en-US" w:eastAsia="zh-CN" w:bidi="ar-SA"/>
    </w:rPr>
  </w:style>
  <w:style w:type="paragraph" w:styleId="6">
    <w:name w:val="Normal Indent"/>
    <w:basedOn w:val="1"/>
    <w:next w:val="7"/>
    <w:qFormat/>
    <w:uiPriority w:val="99"/>
    <w:rPr>
      <w:sz w:val="24"/>
    </w:rPr>
  </w:style>
  <w:style w:type="paragraph" w:styleId="7">
    <w:name w:val="Body Text"/>
    <w:basedOn w:val="1"/>
    <w:next w:val="1"/>
    <w:qFormat/>
    <w:uiPriority w:val="0"/>
    <w:pPr>
      <w:spacing w:line="600" w:lineRule="exact"/>
    </w:pPr>
    <w:rPr>
      <w:rFonts w:ascii="仿宋_GB2312"/>
      <w:szCs w:val="20"/>
    </w:rPr>
  </w:style>
  <w:style w:type="paragraph" w:styleId="8">
    <w:name w:val="caption"/>
    <w:basedOn w:val="1"/>
    <w:next w:val="1"/>
    <w:unhideWhenUsed/>
    <w:qFormat/>
    <w:uiPriority w:val="35"/>
    <w:rPr>
      <w:rFonts w:eastAsia="黑体" w:asciiTheme="majorHAnsi" w:hAnsiTheme="majorHAnsi" w:cstheme="majorBidi"/>
      <w:sz w:val="20"/>
      <w:szCs w:val="20"/>
    </w:rPr>
  </w:style>
  <w:style w:type="paragraph" w:styleId="9">
    <w:name w:val="annotation text"/>
    <w:basedOn w:val="1"/>
    <w:qFormat/>
    <w:uiPriority w:val="0"/>
    <w:pPr>
      <w:jc w:val="left"/>
    </w:pPr>
  </w:style>
  <w:style w:type="paragraph" w:styleId="10">
    <w:name w:val="Body Text Indent"/>
    <w:basedOn w:val="1"/>
    <w:qFormat/>
    <w:uiPriority w:val="0"/>
    <w:pPr>
      <w:ind w:left="420" w:leftChars="200"/>
    </w:pPr>
  </w:style>
  <w:style w:type="paragraph" w:styleId="11">
    <w:name w:val="footer"/>
    <w:basedOn w:val="1"/>
    <w:link w:val="34"/>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3">
    <w:name w:val="toc 1"/>
    <w:basedOn w:val="1"/>
    <w:next w:val="1"/>
    <w:qFormat/>
    <w:uiPriority w:val="39"/>
  </w:style>
  <w:style w:type="paragraph" w:styleId="14">
    <w:name w:val="footnote text"/>
    <w:basedOn w:val="1"/>
    <w:qFormat/>
    <w:uiPriority w:val="0"/>
    <w:pPr>
      <w:snapToGrid w:val="0"/>
      <w:jc w:val="left"/>
    </w:pPr>
    <w:rPr>
      <w:sz w:val="18"/>
    </w:rPr>
  </w:style>
  <w:style w:type="paragraph" w:styleId="15">
    <w:name w:val="toc 2"/>
    <w:basedOn w:val="1"/>
    <w:next w:val="1"/>
    <w:qFormat/>
    <w:uiPriority w:val="39"/>
    <w:pPr>
      <w:ind w:left="420" w:leftChars="200"/>
    </w:pPr>
  </w:style>
  <w:style w:type="paragraph" w:styleId="16">
    <w:name w:val="Body Text First Indent 2"/>
    <w:basedOn w:val="10"/>
    <w:qFormat/>
    <w:uiPriority w:val="0"/>
    <w:pPr>
      <w:ind w:left="0" w:leftChars="0"/>
    </w:pPr>
  </w:style>
  <w:style w:type="table" w:styleId="18">
    <w:name w:val="Table Grid"/>
    <w:basedOn w:val="1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Strong"/>
    <w:basedOn w:val="19"/>
    <w:qFormat/>
    <w:uiPriority w:val="0"/>
    <w:rPr>
      <w:b/>
    </w:rPr>
  </w:style>
  <w:style w:type="character" w:styleId="21">
    <w:name w:val="page number"/>
    <w:basedOn w:val="19"/>
    <w:qFormat/>
    <w:uiPriority w:val="0"/>
  </w:style>
  <w:style w:type="character" w:styleId="22">
    <w:name w:val="Emphasis"/>
    <w:basedOn w:val="19"/>
    <w:qFormat/>
    <w:uiPriority w:val="0"/>
    <w:rPr>
      <w:i/>
    </w:rPr>
  </w:style>
  <w:style w:type="character" w:styleId="23">
    <w:name w:val="Hyperlink"/>
    <w:basedOn w:val="19"/>
    <w:qFormat/>
    <w:uiPriority w:val="99"/>
    <w:rPr>
      <w:color w:val="0000FF"/>
      <w:u w:val="single"/>
    </w:rPr>
  </w:style>
  <w:style w:type="character" w:styleId="24">
    <w:name w:val="annotation reference"/>
    <w:basedOn w:val="19"/>
    <w:qFormat/>
    <w:uiPriority w:val="0"/>
    <w:rPr>
      <w:sz w:val="21"/>
      <w:szCs w:val="21"/>
    </w:rPr>
  </w:style>
  <w:style w:type="character" w:styleId="25">
    <w:name w:val="footnote reference"/>
    <w:basedOn w:val="19"/>
    <w:qFormat/>
    <w:uiPriority w:val="0"/>
    <w:rPr>
      <w:vertAlign w:val="superscript"/>
    </w:rPr>
  </w:style>
  <w:style w:type="paragraph" w:customStyle="1" w:styleId="26">
    <w:name w:val="正文文本首行缩进 21"/>
    <w:basedOn w:val="27"/>
    <w:qFormat/>
    <w:uiPriority w:val="0"/>
    <w:pPr>
      <w:spacing w:line="360" w:lineRule="auto"/>
    </w:pPr>
    <w:rPr>
      <w:rFonts w:eastAsia="宋体"/>
      <w:sz w:val="24"/>
    </w:rPr>
  </w:style>
  <w:style w:type="paragraph" w:customStyle="1" w:styleId="27">
    <w:name w:val="正文文本缩进1"/>
    <w:basedOn w:val="1"/>
    <w:qFormat/>
    <w:uiPriority w:val="0"/>
    <w:pPr>
      <w:spacing w:line="150" w:lineRule="atLeast"/>
      <w:textAlignment w:val="baseline"/>
    </w:pPr>
  </w:style>
  <w:style w:type="paragraph" w:customStyle="1" w:styleId="28">
    <w:name w:val="正文缩进1"/>
    <w:basedOn w:val="1"/>
    <w:qFormat/>
    <w:uiPriority w:val="0"/>
    <w:pPr>
      <w:spacing w:line="500" w:lineRule="exact"/>
      <w:ind w:right="26" w:rightChars="8" w:firstLine="640"/>
    </w:pPr>
    <w:rPr>
      <w:rFonts w:ascii="楷体_GB2312" w:eastAsia="楷体_GB2312"/>
      <w:szCs w:val="32"/>
    </w:rPr>
  </w:style>
  <w:style w:type="paragraph" w:styleId="29">
    <w:name w:val="List Paragraph"/>
    <w:basedOn w:val="1"/>
    <w:qFormat/>
    <w:uiPriority w:val="99"/>
  </w:style>
  <w:style w:type="paragraph" w:customStyle="1" w:styleId="30">
    <w:name w:val="Normal Indent1"/>
    <w:basedOn w:val="1"/>
    <w:qFormat/>
    <w:uiPriority w:val="99"/>
    <w:pPr>
      <w:spacing w:line="500" w:lineRule="exact"/>
      <w:ind w:right="26" w:rightChars="8" w:firstLine="640"/>
    </w:pPr>
    <w:rPr>
      <w:rFonts w:ascii="楷体_GB2312" w:eastAsia="楷体_GB2312"/>
      <w:szCs w:val="32"/>
    </w:rPr>
  </w:style>
  <w:style w:type="character" w:customStyle="1" w:styleId="31">
    <w:name w:val="正文文本 字符1"/>
    <w:qFormat/>
    <w:uiPriority w:val="1"/>
    <w:rPr>
      <w:rFonts w:ascii="宋体" w:hAnsi="宋体" w:eastAsia="仿宋" w:cs="宋体"/>
      <w:sz w:val="28"/>
      <w:szCs w:val="30"/>
      <w:lang w:val="zh-CN" w:bidi="zh-CN"/>
    </w:rPr>
  </w:style>
  <w:style w:type="paragraph" w:customStyle="1" w:styleId="32">
    <w:name w:val="WPSOffice手动目录 1"/>
    <w:qFormat/>
    <w:uiPriority w:val="0"/>
    <w:rPr>
      <w:rFonts w:ascii="Times New Roman" w:hAnsi="Times New Roman" w:eastAsia="宋体" w:cs="Times New Roman"/>
      <w:lang w:val="en-US" w:eastAsia="zh-CN" w:bidi="ar-SA"/>
    </w:rPr>
  </w:style>
  <w:style w:type="paragraph" w:customStyle="1" w:styleId="33">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4">
    <w:name w:val="页脚 Char"/>
    <w:basedOn w:val="19"/>
    <w:link w:val="11"/>
    <w:qFormat/>
    <w:uiPriority w:val="0"/>
    <w:rPr>
      <w:rFonts w:eastAsia="仿宋_GB2312" w:cstheme="minorBidi"/>
      <w:kern w:val="2"/>
      <w:sz w:val="18"/>
      <w:szCs w:val="24"/>
    </w:rPr>
  </w:style>
  <w:style w:type="paragraph" w:customStyle="1" w:styleId="35">
    <w:name w:val="TOC Heading"/>
    <w:basedOn w:val="3"/>
    <w:next w:val="1"/>
    <w:semiHidden/>
    <w:unhideWhenUsed/>
    <w:qFormat/>
    <w:uiPriority w:val="39"/>
    <w:pPr>
      <w:widowControl/>
      <w:spacing w:before="480" w:line="276" w:lineRule="auto"/>
      <w:jc w:val="left"/>
      <w:outlineLvl w:val="9"/>
    </w:pPr>
    <w:rPr>
      <w:rFonts w:asciiTheme="majorHAnsi" w:hAnsiTheme="majorHAnsi" w:eastAsiaTheme="majorEastAsia" w:cstheme="majorBidi"/>
      <w:b/>
      <w:bCs/>
      <w:color w:val="2E75B6"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58</Pages>
  <Words>27098</Words>
  <Characters>4249</Characters>
  <Lines>35</Lines>
  <Paragraphs>62</Paragraphs>
  <TotalTime>104</TotalTime>
  <ScaleCrop>false</ScaleCrop>
  <LinksUpToDate>false</LinksUpToDate>
  <CharactersWithSpaces>31285</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2021-09-14T09:55:00Z</dcterms:created>
  <dc:creator>F_Dan</dc:creator>
  <cp:lastModifiedBy>kylin</cp:lastModifiedBy>
  <cp:lastPrinted>2024-02-19T10:01:00Z</cp:lastPrinted>
  <dcterms:modified xsi:type="dcterms:W3CDTF">2024-02-22T15:52:09Z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93C79826AA1F407CB9238C288902FC82_13</vt:lpwstr>
  </property>
</Properties>
</file>