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ind w:firstLine="560"/>
        <w:jc w:val="center"/>
        <w:rPr>
          <w:rFonts w:hint="eastAsia"/>
          <w:bCs/>
          <w:color w:val="000000"/>
          <w:kern w:val="0"/>
        </w:rPr>
      </w:pPr>
    </w:p>
    <w:p>
      <w:pPr>
        <w:spacing w:line="570" w:lineRule="exact"/>
        <w:ind w:firstLine="560"/>
        <w:jc w:val="center"/>
        <w:rPr>
          <w:bCs/>
          <w:color w:val="000000"/>
          <w:kern w:val="0"/>
        </w:rPr>
      </w:pPr>
    </w:p>
    <w:p>
      <w:pPr>
        <w:spacing w:line="570" w:lineRule="exact"/>
        <w:ind w:firstLine="560"/>
        <w:jc w:val="center"/>
        <w:rPr>
          <w:bCs/>
          <w:color w:val="000000"/>
          <w:kern w:val="0"/>
        </w:rPr>
      </w:pPr>
    </w:p>
    <w:p>
      <w:pPr>
        <w:spacing w:line="570" w:lineRule="exact"/>
        <w:ind w:firstLine="560"/>
        <w:jc w:val="center"/>
        <w:rPr>
          <w:bCs/>
          <w:color w:val="000000"/>
          <w:kern w:val="0"/>
        </w:rPr>
      </w:pPr>
    </w:p>
    <w:p>
      <w:pPr>
        <w:spacing w:line="570" w:lineRule="exact"/>
        <w:ind w:firstLine="560"/>
        <w:jc w:val="center"/>
        <w:rPr>
          <w:bCs/>
          <w:color w:val="000000"/>
          <w:kern w:val="0"/>
        </w:rPr>
      </w:pPr>
    </w:p>
    <w:p>
      <w:pPr>
        <w:spacing w:line="460" w:lineRule="exact"/>
        <w:ind w:firstLine="560"/>
        <w:jc w:val="center"/>
        <w:rPr>
          <w:bCs/>
          <w:color w:val="000000"/>
          <w:kern w:val="0"/>
        </w:rPr>
      </w:pPr>
    </w:p>
    <w:p>
      <w:pPr>
        <w:spacing w:line="570" w:lineRule="exact"/>
        <w:ind w:firstLine="560"/>
        <w:jc w:val="center"/>
        <w:rPr>
          <w:bCs/>
          <w:color w:val="000000"/>
          <w:kern w:val="0"/>
        </w:rPr>
      </w:pPr>
    </w:p>
    <w:p>
      <w:pPr>
        <w:spacing w:line="570" w:lineRule="exact"/>
        <w:ind w:firstLine="560"/>
        <w:jc w:val="center"/>
        <w:rPr>
          <w:bCs/>
          <w:color w:val="000000"/>
          <w:kern w:val="0"/>
        </w:rPr>
      </w:pPr>
    </w:p>
    <w:p>
      <w:pPr>
        <w:ind w:firstLine="560"/>
      </w:pPr>
    </w:p>
    <w:p>
      <w:pPr>
        <w:widowControl w:val="0"/>
        <w:snapToGrid w:val="0"/>
        <w:spacing w:line="240" w:lineRule="auto"/>
        <w:ind w:firstLine="0" w:firstLineChars="0"/>
        <w:jc w:val="center"/>
        <w:rPr>
          <w:rFonts w:ascii="微软雅黑" w:hAnsi="微软雅黑" w:eastAsia="微软雅黑"/>
          <w:b/>
          <w:bCs/>
          <w:sz w:val="56"/>
          <w:szCs w:val="56"/>
        </w:rPr>
      </w:pPr>
    </w:p>
    <w:p>
      <w:pPr>
        <w:widowControl w:val="0"/>
        <w:snapToGrid w:val="0"/>
        <w:spacing w:line="240" w:lineRule="auto"/>
        <w:ind w:firstLine="0" w:firstLineChars="0"/>
        <w:jc w:val="center"/>
        <w:rPr>
          <w:rFonts w:ascii="微软雅黑" w:hAnsi="微软雅黑" w:eastAsia="微软雅黑"/>
          <w:b/>
          <w:bCs/>
          <w:sz w:val="56"/>
          <w:szCs w:val="56"/>
        </w:rPr>
      </w:pPr>
    </w:p>
    <w:p>
      <w:pPr>
        <w:widowControl w:val="0"/>
        <w:spacing w:line="900" w:lineRule="exact"/>
        <w:ind w:firstLine="0" w:firstLineChars="0"/>
        <w:jc w:val="center"/>
        <w:rPr>
          <w:rFonts w:hAnsi="方正小标宋简体" w:eastAsia="方正小标宋简体"/>
          <w:spacing w:val="20"/>
          <w:kern w:val="0"/>
          <w:sz w:val="52"/>
          <w:szCs w:val="52"/>
          <w:lang w:bidi="ar"/>
        </w:rPr>
      </w:pPr>
      <w:bookmarkStart w:id="0" w:name="_Hlk103678862"/>
      <w:r>
        <w:rPr>
          <w:rFonts w:hint="eastAsia" w:hAnsi="方正小标宋简体" w:eastAsia="方正小标宋简体"/>
          <w:spacing w:val="20"/>
          <w:kern w:val="0"/>
          <w:sz w:val="52"/>
          <w:szCs w:val="52"/>
          <w:lang w:bidi="ar"/>
        </w:rPr>
        <w:t>阳江市阳东区综合交通运输体系</w:t>
      </w:r>
    </w:p>
    <w:p>
      <w:pPr>
        <w:widowControl w:val="0"/>
        <w:spacing w:line="900" w:lineRule="exact"/>
        <w:ind w:firstLine="0" w:firstLineChars="0"/>
        <w:jc w:val="center"/>
        <w:rPr>
          <w:rFonts w:hAnsi="方正小标宋简体" w:eastAsia="方正小标宋简体"/>
          <w:spacing w:val="-20"/>
          <w:kern w:val="0"/>
          <w:sz w:val="52"/>
          <w:szCs w:val="52"/>
          <w:lang w:bidi="ar"/>
        </w:rPr>
      </w:pPr>
      <w:r>
        <w:rPr>
          <w:rFonts w:hint="eastAsia" w:hAnsi="方正小标宋简体" w:eastAsia="方正小标宋简体"/>
          <w:spacing w:val="-20"/>
          <w:kern w:val="0"/>
          <w:sz w:val="52"/>
          <w:szCs w:val="52"/>
          <w:lang w:bidi="ar"/>
        </w:rPr>
        <w:t>中长期发展规划（2021-2035年）</w:t>
      </w:r>
    </w:p>
    <w:bookmarkEnd w:id="0"/>
    <w:p>
      <w:pPr>
        <w:widowControl w:val="0"/>
        <w:spacing w:line="560" w:lineRule="exact"/>
        <w:ind w:firstLine="0" w:firstLineChars="0"/>
        <w:jc w:val="center"/>
        <w:rPr>
          <w:rFonts w:ascii="楷体" w:hAnsi="楷体" w:eastAsia="楷体" w:cstheme="minorBidi"/>
          <w:b/>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850" w:gutter="0"/>
          <w:cols w:space="425" w:num="1"/>
          <w:titlePg/>
          <w:docGrid w:type="lines" w:linePitch="326" w:charSpace="0"/>
        </w:sectPr>
      </w:pPr>
    </w:p>
    <w:p>
      <w:pPr>
        <w:tabs>
          <w:tab w:val="left" w:pos="3641"/>
        </w:tabs>
        <w:ind w:firstLine="0" w:firstLineChars="0"/>
        <w:rPr>
          <w:rFonts w:ascii="华文中宋" w:hAnsi="华文中宋" w:eastAsia="华文中宋" w:cstheme="minorBidi"/>
          <w:b/>
          <w:sz w:val="36"/>
          <w:szCs w:val="36"/>
        </w:rPr>
        <w:sectPr>
          <w:pgSz w:w="11906" w:h="16838"/>
          <w:pgMar w:top="1440" w:right="1800" w:bottom="1440" w:left="1800" w:header="851" w:footer="850" w:gutter="0"/>
          <w:cols w:space="425" w:num="1"/>
          <w:titlePg/>
          <w:docGrid w:type="lines" w:linePitch="326" w:charSpace="0"/>
        </w:sectPr>
      </w:pPr>
    </w:p>
    <w:p>
      <w:pPr>
        <w:pStyle w:val="42"/>
        <w:widowControl w:val="0"/>
        <w:adjustRightInd w:val="0"/>
        <w:snapToGrid w:val="0"/>
        <w:spacing w:line="570" w:lineRule="exact"/>
        <w:ind w:firstLine="0" w:firstLineChars="0"/>
        <w:jc w:val="center"/>
        <w:rPr>
          <w:rFonts w:ascii="Times New Roman" w:hAnsi="Times New Roman" w:eastAsia="方正小标宋简体"/>
          <w:sz w:val="44"/>
        </w:rPr>
      </w:pPr>
      <w:r>
        <w:rPr>
          <w:rFonts w:hint="eastAsia" w:ascii="Times New Roman" w:hAnsi="Times New Roman" w:eastAsia="方正小标宋简体"/>
          <w:bCs/>
          <w:sz w:val="44"/>
          <w:szCs w:val="36"/>
        </w:rPr>
        <w:t>目</w:t>
      </w:r>
      <w:r>
        <w:rPr>
          <w:rFonts w:hint="eastAsia" w:ascii="Times New Roman" w:hAnsi="Times New Roman" w:eastAsia="方正小标宋简体"/>
          <w:sz w:val="44"/>
        </w:rPr>
        <w:t xml:space="preserve"> </w:t>
      </w:r>
      <w:r>
        <w:rPr>
          <w:rFonts w:ascii="Times New Roman" w:hAnsi="Times New Roman" w:eastAsia="方正小标宋简体"/>
          <w:sz w:val="44"/>
        </w:rPr>
        <w:t xml:space="preserve">  </w:t>
      </w:r>
      <w:r>
        <w:rPr>
          <w:rFonts w:hint="eastAsia" w:ascii="Times New Roman" w:hAnsi="Times New Roman" w:eastAsia="方正小标宋简体"/>
          <w:bCs/>
          <w:sz w:val="44"/>
          <w:szCs w:val="36"/>
        </w:rPr>
        <w:t>录</w:t>
      </w:r>
    </w:p>
    <w:p>
      <w:pPr>
        <w:pStyle w:val="42"/>
        <w:spacing w:line="390" w:lineRule="exact"/>
        <w:ind w:firstLine="560"/>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TOC \o "1-2" \h \z \u </w:instrText>
      </w:r>
      <w:r>
        <w:rPr>
          <w:rFonts w:ascii="Times New Roman" w:hAnsi="Times New Roman"/>
          <w:sz w:val="28"/>
          <w:szCs w:val="28"/>
        </w:rPr>
        <w:fldChar w:fldCharType="separate"/>
      </w:r>
      <w:r>
        <w:fldChar w:fldCharType="begin"/>
      </w:r>
      <w:r>
        <w:instrText xml:space="preserve"> HYPERLINK \l "_Toc117693176" </w:instrText>
      </w:r>
      <w:r>
        <w:fldChar w:fldCharType="separate"/>
      </w:r>
      <w:r>
        <w:rPr>
          <w:rStyle w:val="75"/>
          <w:rFonts w:ascii="Times New Roman" w:hAnsi="Times New Roman"/>
          <w:color w:val="auto"/>
          <w:sz w:val="28"/>
          <w:szCs w:val="28"/>
        </w:rPr>
        <w:t>前  言</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_Toc117693176 \h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Fonts w:ascii="Times New Roman" w:hAnsi="Times New Roman"/>
          <w:sz w:val="28"/>
          <w:szCs w:val="28"/>
        </w:rPr>
      </w:pPr>
      <w:r>
        <w:fldChar w:fldCharType="begin"/>
      </w:r>
      <w:r>
        <w:instrText xml:space="preserve"> HYPERLINK \l "_Toc117693177" </w:instrText>
      </w:r>
      <w:r>
        <w:fldChar w:fldCharType="separate"/>
      </w:r>
      <w:r>
        <w:rPr>
          <w:rStyle w:val="75"/>
          <w:rFonts w:ascii="Times New Roman" w:hAnsi="Times New Roman"/>
          <w:color w:val="auto"/>
          <w:sz w:val="28"/>
          <w:szCs w:val="28"/>
        </w:rPr>
        <w:t>第一章 发展基础</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_Toc117693177 \h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"_Toc117693178" </w:instrText>
      </w:r>
      <w:r>
        <w:fldChar w:fldCharType="separate"/>
      </w:r>
      <w:r>
        <w:rPr>
          <w:rStyle w:val="75"/>
          <w:rFonts w:hint="eastAsia" w:ascii="Times New Roman" w:hAnsi="Times New Roman" w:eastAsia="方正楷体简体"/>
          <w:color w:val="auto"/>
          <w:kern w:val="0"/>
          <w:sz w:val="28"/>
          <w:szCs w:val="28"/>
        </w:rPr>
        <w:t>第一节 发展现状</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_Toc117693178 \h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"_Toc117693179" </w:instrText>
      </w:r>
      <w:r>
        <w:fldChar w:fldCharType="separate"/>
      </w:r>
      <w:r>
        <w:rPr>
          <w:rStyle w:val="75"/>
          <w:rFonts w:hint="eastAsia" w:ascii="Times New Roman" w:hAnsi="Times New Roman" w:eastAsia="方正楷体简体"/>
          <w:color w:val="auto"/>
          <w:kern w:val="0"/>
          <w:sz w:val="28"/>
          <w:szCs w:val="28"/>
        </w:rPr>
        <w:t>第二节 主要问题</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_Toc117693179 \h </w:instrText>
      </w:r>
      <w:r>
        <w:rPr>
          <w:rFonts w:ascii="Times New Roman" w:hAnsi="Times New Roman"/>
          <w:sz w:val="28"/>
          <w:szCs w:val="28"/>
        </w:rPr>
        <w:fldChar w:fldCharType="separate"/>
      </w:r>
      <w:r>
        <w:rPr>
          <w:rFonts w:ascii="Times New Roman" w:hAnsi="Times New Roman"/>
          <w:sz w:val="28"/>
          <w:szCs w:val="28"/>
        </w:rPr>
        <w:t>7</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"_Toc117693180" </w:instrText>
      </w:r>
      <w:r>
        <w:fldChar w:fldCharType="separate"/>
      </w:r>
      <w:r>
        <w:rPr>
          <w:rStyle w:val="75"/>
          <w:rFonts w:hint="eastAsia" w:ascii="Times New Roman" w:hAnsi="Times New Roman" w:eastAsia="方正楷体简体"/>
          <w:color w:val="auto"/>
          <w:kern w:val="0"/>
          <w:sz w:val="28"/>
          <w:szCs w:val="28"/>
        </w:rPr>
        <w:t>第三节 形势要求</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_Toc117693180 \h </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"_Toc117693181" </w:instrText>
      </w:r>
      <w:r>
        <w:fldChar w:fldCharType="separate"/>
      </w:r>
      <w:r>
        <w:rPr>
          <w:rStyle w:val="75"/>
          <w:rFonts w:ascii="Times New Roman" w:hAnsi="Times New Roman"/>
          <w:color w:val="auto"/>
          <w:sz w:val="28"/>
          <w:szCs w:val="28"/>
        </w:rPr>
        <w:t>第二章 总体要求</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_Toc117693181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11</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"_Toc117693182" </w:instrText>
      </w:r>
      <w:r>
        <w:fldChar w:fldCharType="separate"/>
      </w:r>
      <w:r>
        <w:rPr>
          <w:rStyle w:val="75"/>
          <w:rFonts w:hint="eastAsia" w:ascii="Times New Roman" w:hAnsi="Times New Roman" w:eastAsia="方正楷体简体"/>
          <w:color w:val="auto"/>
          <w:kern w:val="0"/>
          <w:sz w:val="28"/>
          <w:szCs w:val="28"/>
        </w:rPr>
        <w:t>第一节 指导思想</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_Toc117693182 \h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"_Toc117693183" </w:instrText>
      </w:r>
      <w:r>
        <w:fldChar w:fldCharType="separate"/>
      </w:r>
      <w:r>
        <w:rPr>
          <w:rStyle w:val="75"/>
          <w:rFonts w:hint="eastAsia" w:ascii="Times New Roman" w:hAnsi="Times New Roman" w:eastAsia="方正楷体简体"/>
          <w:color w:val="auto"/>
          <w:kern w:val="0"/>
          <w:sz w:val="28"/>
          <w:szCs w:val="28"/>
        </w:rPr>
        <w:t>第二节 规划原则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_Toc117693183 \h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"_Toc117693184" </w:instrText>
      </w:r>
      <w:r>
        <w:fldChar w:fldCharType="separate"/>
      </w:r>
      <w:r>
        <w:rPr>
          <w:rStyle w:val="75"/>
          <w:rFonts w:hint="eastAsia" w:ascii="Times New Roman" w:hAnsi="Times New Roman" w:eastAsia="方正楷体简体"/>
          <w:color w:val="auto"/>
          <w:kern w:val="0"/>
          <w:sz w:val="28"/>
          <w:szCs w:val="28"/>
        </w:rPr>
        <w:t>第三节 发展战略</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_Toc117693184 \h </w:instrText>
      </w:r>
      <w:r>
        <w:rPr>
          <w:rFonts w:ascii="Times New Roman" w:hAnsi="Times New Roman"/>
          <w:sz w:val="28"/>
          <w:szCs w:val="28"/>
        </w:rPr>
        <w:fldChar w:fldCharType="separate"/>
      </w:r>
      <w:r>
        <w:rPr>
          <w:rFonts w:ascii="Times New Roman" w:hAnsi="Times New Roman"/>
          <w:sz w:val="28"/>
          <w:szCs w:val="28"/>
        </w:rPr>
        <w:t>13</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"_Toc117693185" </w:instrText>
      </w:r>
      <w:r>
        <w:fldChar w:fldCharType="separate"/>
      </w:r>
      <w:r>
        <w:rPr>
          <w:rStyle w:val="75"/>
          <w:rFonts w:hint="eastAsia" w:ascii="Times New Roman" w:hAnsi="Times New Roman" w:eastAsia="方正楷体简体"/>
          <w:color w:val="auto"/>
          <w:kern w:val="0"/>
          <w:sz w:val="28"/>
          <w:szCs w:val="28"/>
        </w:rPr>
        <w:t>第四节 发展目标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_Toc117693185 \h </w:instrText>
      </w:r>
      <w:r>
        <w:rPr>
          <w:rFonts w:ascii="Times New Roman" w:hAnsi="Times New Roman"/>
          <w:sz w:val="28"/>
          <w:szCs w:val="28"/>
        </w:rPr>
        <w:fldChar w:fldCharType="separate"/>
      </w:r>
      <w:r>
        <w:rPr>
          <w:rFonts w:ascii="Times New Roman" w:hAnsi="Times New Roman"/>
          <w:sz w:val="28"/>
          <w:szCs w:val="28"/>
        </w:rPr>
        <w:t>17</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"_Toc117693186" </w:instrText>
      </w:r>
      <w:r>
        <w:fldChar w:fldCharType="separate"/>
      </w:r>
      <w:r>
        <w:rPr>
          <w:rStyle w:val="75"/>
          <w:rFonts w:ascii="Times New Roman" w:hAnsi="Times New Roman"/>
          <w:color w:val="auto"/>
          <w:sz w:val="28"/>
          <w:szCs w:val="28"/>
        </w:rPr>
        <w:t>第三章 构建外联内畅的综合立体交通网</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_Toc117693186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18</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"_Toc117693187" </w:instrText>
      </w:r>
      <w:r>
        <w:fldChar w:fldCharType="separate"/>
      </w:r>
      <w:r>
        <w:rPr>
          <w:rStyle w:val="75"/>
          <w:rFonts w:hint="eastAsia" w:ascii="Times New Roman" w:hAnsi="Times New Roman" w:eastAsia="方正楷体简体"/>
          <w:color w:val="auto"/>
          <w:kern w:val="0"/>
          <w:sz w:val="28"/>
          <w:szCs w:val="28"/>
        </w:rPr>
        <w:t>第一节 构建高效率的对外交通网络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_Toc117693187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"_Toc117693188" </w:instrText>
      </w:r>
      <w:r>
        <w:fldChar w:fldCharType="separate"/>
      </w:r>
      <w:r>
        <w:rPr>
          <w:rStyle w:val="75"/>
          <w:rFonts w:hint="eastAsia" w:ascii="Times New Roman" w:hAnsi="Times New Roman" w:eastAsia="方正楷体简体"/>
          <w:color w:val="auto"/>
          <w:kern w:val="0"/>
          <w:sz w:val="28"/>
          <w:szCs w:val="28"/>
        </w:rPr>
        <w:t>第二节 构建一体化的同城交通网络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_Toc117693188 \h </w:instrText>
      </w:r>
      <w:r>
        <w:rPr>
          <w:rFonts w:ascii="Times New Roman" w:hAnsi="Times New Roman"/>
          <w:sz w:val="28"/>
          <w:szCs w:val="28"/>
        </w:rPr>
        <w:fldChar w:fldCharType="separate"/>
      </w:r>
      <w:r>
        <w:rPr>
          <w:rFonts w:ascii="Times New Roman" w:hAnsi="Times New Roman"/>
          <w:sz w:val="28"/>
          <w:szCs w:val="28"/>
        </w:rPr>
        <w:t>24</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"_Toc117693189" </w:instrText>
      </w:r>
      <w:r>
        <w:fldChar w:fldCharType="separate"/>
      </w:r>
      <w:r>
        <w:rPr>
          <w:rStyle w:val="75"/>
          <w:rFonts w:hint="eastAsia" w:ascii="Times New Roman" w:hAnsi="Times New Roman" w:eastAsia="方正楷体简体"/>
          <w:color w:val="auto"/>
          <w:kern w:val="0"/>
          <w:sz w:val="28"/>
          <w:szCs w:val="28"/>
        </w:rPr>
        <w:t>第三节 构建完善的公路交通网络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_Toc117693189 \h </w:instrText>
      </w:r>
      <w:r>
        <w:rPr>
          <w:rFonts w:ascii="Times New Roman" w:hAnsi="Times New Roman"/>
          <w:sz w:val="28"/>
          <w:szCs w:val="28"/>
        </w:rPr>
        <w:fldChar w:fldCharType="separate"/>
      </w:r>
      <w:r>
        <w:rPr>
          <w:rFonts w:ascii="Times New Roman" w:hAnsi="Times New Roman"/>
          <w:sz w:val="28"/>
          <w:szCs w:val="28"/>
        </w:rPr>
        <w:t>27</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"_Toc117693190" </w:instrText>
      </w:r>
      <w:r>
        <w:fldChar w:fldCharType="separate"/>
      </w:r>
      <w:r>
        <w:rPr>
          <w:rStyle w:val="75"/>
          <w:rFonts w:hint="eastAsia" w:ascii="Times New Roman" w:hAnsi="Times New Roman" w:eastAsia="方正楷体简体"/>
          <w:color w:val="auto"/>
          <w:kern w:val="0"/>
          <w:sz w:val="28"/>
          <w:szCs w:val="28"/>
        </w:rPr>
        <w:t>第四节 构建“快进慢游”的旅游交通网络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_Toc117693190 \h </w:instrText>
      </w:r>
      <w:r>
        <w:rPr>
          <w:rFonts w:ascii="Times New Roman" w:hAnsi="Times New Roman"/>
          <w:sz w:val="28"/>
          <w:szCs w:val="28"/>
        </w:rPr>
        <w:fldChar w:fldCharType="separate"/>
      </w:r>
      <w:r>
        <w:rPr>
          <w:rFonts w:ascii="Times New Roman" w:hAnsi="Times New Roman"/>
          <w:sz w:val="28"/>
          <w:szCs w:val="28"/>
        </w:rPr>
        <w:t>32</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"_Toc117693191" </w:instrText>
      </w:r>
      <w:r>
        <w:fldChar w:fldCharType="separate"/>
      </w:r>
      <w:r>
        <w:rPr>
          <w:rStyle w:val="75"/>
          <w:rFonts w:ascii="Times New Roman" w:hAnsi="Times New Roman"/>
          <w:color w:val="auto"/>
          <w:sz w:val="28"/>
          <w:szCs w:val="28"/>
        </w:rPr>
        <w:t>第四章 打造便捷高效的客货运输体系</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_Toc117693191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36</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"_Toc117693192" </w:instrText>
      </w:r>
      <w:r>
        <w:fldChar w:fldCharType="separate"/>
      </w:r>
      <w:r>
        <w:rPr>
          <w:rStyle w:val="75"/>
          <w:rFonts w:hint="eastAsia" w:ascii="Times New Roman" w:hAnsi="Times New Roman" w:eastAsia="方正楷体简体"/>
          <w:color w:val="auto"/>
          <w:kern w:val="0"/>
          <w:sz w:val="28"/>
          <w:szCs w:val="28"/>
        </w:rPr>
        <w:t>第一节 综合客运体系规划</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_Toc117693192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"_Toc117693193" </w:instrText>
      </w:r>
      <w:r>
        <w:fldChar w:fldCharType="separate"/>
      </w:r>
      <w:r>
        <w:rPr>
          <w:rStyle w:val="75"/>
          <w:rFonts w:hint="eastAsia" w:ascii="Times New Roman" w:hAnsi="Times New Roman" w:eastAsia="方正楷体简体"/>
          <w:color w:val="auto"/>
          <w:kern w:val="0"/>
          <w:sz w:val="28"/>
          <w:szCs w:val="28"/>
        </w:rPr>
        <w:t>第二节 综合货运体系规划</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_Toc117693193 \h </w:instrText>
      </w:r>
      <w:r>
        <w:rPr>
          <w:rFonts w:ascii="Times New Roman" w:hAnsi="Times New Roman"/>
          <w:sz w:val="28"/>
          <w:szCs w:val="28"/>
        </w:rPr>
        <w:fldChar w:fldCharType="separate"/>
      </w:r>
      <w:r>
        <w:rPr>
          <w:rFonts w:ascii="Times New Roman" w:hAnsi="Times New Roman"/>
          <w:sz w:val="28"/>
          <w:szCs w:val="28"/>
        </w:rPr>
        <w:t>38</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"_Toc117693194" </w:instrText>
      </w:r>
      <w:r>
        <w:fldChar w:fldCharType="separate"/>
      </w:r>
      <w:r>
        <w:rPr>
          <w:rStyle w:val="75"/>
          <w:rFonts w:ascii="Times New Roman" w:hAnsi="Times New Roman"/>
          <w:color w:val="auto"/>
          <w:sz w:val="28"/>
          <w:szCs w:val="28"/>
        </w:rPr>
        <w:t>第五章 建设可持续交通发展体系</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_Toc117693194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41</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"_Toc117693195" </w:instrText>
      </w:r>
      <w:r>
        <w:fldChar w:fldCharType="separate"/>
      </w:r>
      <w:r>
        <w:rPr>
          <w:rStyle w:val="75"/>
          <w:rFonts w:hint="eastAsia" w:ascii="Times New Roman" w:hAnsi="Times New Roman" w:eastAsia="方正楷体简体"/>
          <w:color w:val="auto"/>
          <w:kern w:val="0"/>
          <w:sz w:val="28"/>
          <w:szCs w:val="28"/>
        </w:rPr>
        <w:t>第一节 建设智慧交通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_Toc117693195 \h </w:instrText>
      </w:r>
      <w:r>
        <w:rPr>
          <w:rFonts w:ascii="Times New Roman" w:hAnsi="Times New Roman"/>
          <w:sz w:val="28"/>
          <w:szCs w:val="28"/>
        </w:rPr>
        <w:fldChar w:fldCharType="separate"/>
      </w:r>
      <w:r>
        <w:rPr>
          <w:rFonts w:ascii="Times New Roman" w:hAnsi="Times New Roman"/>
          <w:sz w:val="28"/>
          <w:szCs w:val="28"/>
        </w:rPr>
        <w:t>41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"_Toc117693196" </w:instrText>
      </w:r>
      <w:r>
        <w:fldChar w:fldCharType="separate"/>
      </w:r>
      <w:r>
        <w:rPr>
          <w:rStyle w:val="75"/>
          <w:rFonts w:hint="eastAsia" w:ascii="Times New Roman" w:hAnsi="Times New Roman" w:eastAsia="方正楷体简体"/>
          <w:color w:val="auto"/>
          <w:kern w:val="0"/>
          <w:sz w:val="28"/>
          <w:szCs w:val="28"/>
        </w:rPr>
        <w:t>第二节 建设绿色交通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_Toc117693196 \h </w:instrText>
      </w:r>
      <w:r>
        <w:rPr>
          <w:rFonts w:ascii="Times New Roman" w:hAnsi="Times New Roman"/>
          <w:sz w:val="28"/>
          <w:szCs w:val="28"/>
        </w:rPr>
        <w:fldChar w:fldCharType="separate"/>
      </w:r>
      <w:r>
        <w:rPr>
          <w:rFonts w:ascii="Times New Roman" w:hAnsi="Times New Roman"/>
          <w:sz w:val="28"/>
          <w:szCs w:val="28"/>
        </w:rPr>
        <w:t>41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"_Toc117693197" </w:instrText>
      </w:r>
      <w:r>
        <w:fldChar w:fldCharType="separate"/>
      </w:r>
      <w:r>
        <w:rPr>
          <w:rStyle w:val="75"/>
          <w:rFonts w:hint="eastAsia" w:ascii="Times New Roman" w:hAnsi="Times New Roman" w:eastAsia="方正楷体简体"/>
          <w:color w:val="auto"/>
          <w:kern w:val="0"/>
          <w:sz w:val="28"/>
          <w:szCs w:val="28"/>
        </w:rPr>
        <w:t>第三节 建设平安交通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_Toc117693197 \h </w:instrText>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"_Toc117693198" </w:instrText>
      </w:r>
      <w:r>
        <w:fldChar w:fldCharType="separate"/>
      </w:r>
      <w:r>
        <w:rPr>
          <w:rStyle w:val="75"/>
          <w:rFonts w:ascii="Times New Roman" w:hAnsi="Times New Roman"/>
          <w:color w:val="auto"/>
          <w:sz w:val="28"/>
          <w:szCs w:val="28"/>
        </w:rPr>
        <w:t>第六章 国土空间规划衔接</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_Toc117693198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43</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"_Toc117693199" </w:instrText>
      </w:r>
      <w:r>
        <w:fldChar w:fldCharType="separate"/>
      </w:r>
      <w:r>
        <w:rPr>
          <w:rStyle w:val="75"/>
          <w:rFonts w:hint="eastAsia" w:ascii="Times New Roman" w:hAnsi="Times New Roman" w:eastAsia="方正楷体简体"/>
          <w:color w:val="auto"/>
          <w:kern w:val="0"/>
          <w:sz w:val="28"/>
          <w:szCs w:val="28"/>
        </w:rPr>
        <w:t>第一节 支撑国土空间开发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_Toc117693199 \h </w:instrText>
      </w:r>
      <w:r>
        <w:rPr>
          <w:rFonts w:ascii="Times New Roman" w:hAnsi="Times New Roman"/>
          <w:sz w:val="28"/>
          <w:szCs w:val="28"/>
        </w:rPr>
        <w:fldChar w:fldCharType="separate"/>
      </w:r>
      <w:r>
        <w:rPr>
          <w:rFonts w:ascii="Times New Roman" w:hAnsi="Times New Roman"/>
          <w:sz w:val="28"/>
          <w:szCs w:val="28"/>
        </w:rPr>
        <w:t>43</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"_Toc117693200" </w:instrText>
      </w:r>
      <w:r>
        <w:fldChar w:fldCharType="separate"/>
      </w:r>
      <w:r>
        <w:rPr>
          <w:rStyle w:val="75"/>
          <w:rFonts w:hint="eastAsia" w:ascii="Times New Roman" w:hAnsi="Times New Roman" w:eastAsia="方正楷体简体"/>
          <w:color w:val="auto"/>
          <w:kern w:val="0"/>
          <w:sz w:val="28"/>
          <w:szCs w:val="28"/>
        </w:rPr>
        <w:t>第二节 注重规划动态调控</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_Toc117693200 \h </w:instrText>
      </w:r>
      <w:r>
        <w:rPr>
          <w:rFonts w:ascii="Times New Roman" w:hAnsi="Times New Roman"/>
          <w:sz w:val="28"/>
          <w:szCs w:val="28"/>
        </w:rPr>
        <w:fldChar w:fldCharType="separate"/>
      </w:r>
      <w:r>
        <w:rPr>
          <w:rFonts w:ascii="Times New Roman" w:hAnsi="Times New Roman"/>
          <w:sz w:val="28"/>
          <w:szCs w:val="28"/>
        </w:rPr>
        <w:t>43</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"_Toc117693201" </w:instrText>
      </w:r>
      <w:r>
        <w:fldChar w:fldCharType="separate"/>
      </w:r>
      <w:r>
        <w:rPr>
          <w:rStyle w:val="75"/>
          <w:rFonts w:hint="eastAsia" w:ascii="Times New Roman" w:hAnsi="Times New Roman" w:eastAsia="方正楷体简体"/>
          <w:color w:val="auto"/>
          <w:kern w:val="0"/>
          <w:sz w:val="28"/>
          <w:szCs w:val="28"/>
        </w:rPr>
        <w:t>第三节 集约利用空间资源</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_Toc117693201 \h </w:instrText>
      </w:r>
      <w:r>
        <w:rPr>
          <w:rFonts w:ascii="Times New Roman" w:hAnsi="Times New Roman"/>
          <w:sz w:val="28"/>
          <w:szCs w:val="28"/>
        </w:rPr>
        <w:fldChar w:fldCharType="separate"/>
      </w:r>
      <w:r>
        <w:rPr>
          <w:rFonts w:ascii="Times New Roman" w:hAnsi="Times New Roman"/>
          <w:sz w:val="28"/>
          <w:szCs w:val="28"/>
        </w:rPr>
        <w:t>44</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"_Toc117693202" </w:instrText>
      </w:r>
      <w:r>
        <w:fldChar w:fldCharType="separate"/>
      </w:r>
      <w:r>
        <w:rPr>
          <w:rStyle w:val="75"/>
          <w:rFonts w:ascii="Times New Roman" w:hAnsi="Times New Roman"/>
          <w:color w:val="auto"/>
          <w:sz w:val="28"/>
          <w:szCs w:val="28"/>
        </w:rPr>
        <w:t>第七章 近期行动计划</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_Toc117693202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46</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"_Toc117693203" </w:instrText>
      </w:r>
      <w:r>
        <w:fldChar w:fldCharType="separate"/>
      </w:r>
      <w:r>
        <w:rPr>
          <w:rStyle w:val="75"/>
          <w:rFonts w:hint="eastAsia" w:ascii="Times New Roman" w:hAnsi="Times New Roman" w:eastAsia="方正楷体简体"/>
          <w:color w:val="auto"/>
          <w:kern w:val="0"/>
          <w:sz w:val="28"/>
          <w:szCs w:val="28"/>
        </w:rPr>
        <w:t>第一节 加快建设融湾接带高快速主骨架网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_Toc117693203 \h </w:instrText>
      </w:r>
      <w:r>
        <w:rPr>
          <w:rFonts w:ascii="Times New Roman" w:hAnsi="Times New Roman"/>
          <w:sz w:val="28"/>
          <w:szCs w:val="28"/>
        </w:rPr>
        <w:fldChar w:fldCharType="separate"/>
      </w:r>
      <w:r>
        <w:rPr>
          <w:rFonts w:ascii="Times New Roman" w:hAnsi="Times New Roman"/>
          <w:sz w:val="28"/>
          <w:szCs w:val="28"/>
        </w:rPr>
        <w:t>46</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"_Toc117693204" </w:instrText>
      </w:r>
      <w:r>
        <w:fldChar w:fldCharType="separate"/>
      </w:r>
      <w:r>
        <w:rPr>
          <w:rStyle w:val="75"/>
          <w:rFonts w:hint="eastAsia" w:ascii="Times New Roman" w:hAnsi="Times New Roman" w:eastAsia="方正楷体简体"/>
          <w:color w:val="auto"/>
          <w:kern w:val="0"/>
          <w:sz w:val="28"/>
          <w:szCs w:val="28"/>
        </w:rPr>
        <w:t>第二节 加快构建阳东城区与阳江市区一体高效的快速路网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_Toc117693204 \h </w:instrText>
      </w:r>
      <w:r>
        <w:rPr>
          <w:rFonts w:ascii="Times New Roman" w:hAnsi="Times New Roman"/>
          <w:sz w:val="28"/>
          <w:szCs w:val="28"/>
        </w:rPr>
        <w:fldChar w:fldCharType="separate"/>
      </w:r>
      <w:r>
        <w:rPr>
          <w:rFonts w:ascii="Times New Roman" w:hAnsi="Times New Roman"/>
          <w:sz w:val="28"/>
          <w:szCs w:val="28"/>
        </w:rPr>
        <w:t>46</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"_Toc117693205" </w:instrText>
      </w:r>
      <w:r>
        <w:fldChar w:fldCharType="separate"/>
      </w:r>
      <w:r>
        <w:rPr>
          <w:rStyle w:val="75"/>
          <w:rFonts w:hint="eastAsia" w:ascii="Times New Roman" w:hAnsi="Times New Roman" w:eastAsia="方正楷体简体"/>
          <w:color w:val="auto"/>
          <w:kern w:val="0"/>
          <w:sz w:val="28"/>
          <w:szCs w:val="28"/>
        </w:rPr>
        <w:t>第三节 加快打造“五纵七横”普通干线网络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_Toc117693205 \h </w:instrText>
      </w:r>
      <w:r>
        <w:rPr>
          <w:rFonts w:ascii="Times New Roman" w:hAnsi="Times New Roman"/>
          <w:sz w:val="28"/>
          <w:szCs w:val="28"/>
        </w:rPr>
        <w:fldChar w:fldCharType="separate"/>
      </w:r>
      <w:r>
        <w:rPr>
          <w:rFonts w:ascii="Times New Roman" w:hAnsi="Times New Roman"/>
          <w:sz w:val="28"/>
          <w:szCs w:val="28"/>
        </w:rPr>
        <w:t>47</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"_Toc117693206" </w:instrText>
      </w:r>
      <w:r>
        <w:fldChar w:fldCharType="separate"/>
      </w:r>
      <w:r>
        <w:rPr>
          <w:rStyle w:val="75"/>
          <w:rFonts w:hint="eastAsia" w:ascii="Times New Roman" w:hAnsi="Times New Roman" w:eastAsia="方正楷体简体"/>
          <w:color w:val="auto"/>
          <w:kern w:val="0"/>
          <w:sz w:val="28"/>
          <w:szCs w:val="28"/>
        </w:rPr>
        <w:t>第四节 加快建设助力乡村振兴的农村公路网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_Toc117693206 \h </w:instrText>
      </w:r>
      <w:r>
        <w:rPr>
          <w:rFonts w:ascii="Times New Roman" w:hAnsi="Times New Roman"/>
          <w:sz w:val="28"/>
          <w:szCs w:val="28"/>
        </w:rPr>
        <w:fldChar w:fldCharType="separate"/>
      </w:r>
      <w:r>
        <w:rPr>
          <w:rFonts w:ascii="Times New Roman" w:hAnsi="Times New Roman"/>
          <w:sz w:val="28"/>
          <w:szCs w:val="28"/>
        </w:rPr>
        <w:t>48</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"_Toc117693207" </w:instrText>
      </w:r>
      <w:r>
        <w:fldChar w:fldCharType="separate"/>
      </w:r>
      <w:r>
        <w:rPr>
          <w:rStyle w:val="75"/>
          <w:rFonts w:hint="eastAsia" w:ascii="Times New Roman" w:hAnsi="Times New Roman" w:eastAsia="方正楷体简体"/>
          <w:color w:val="auto"/>
          <w:kern w:val="0"/>
          <w:sz w:val="28"/>
          <w:szCs w:val="28"/>
        </w:rPr>
        <w:t>第五节 加快打造阳东特色旅游交通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_Toc117693207 \h </w:instrText>
      </w:r>
      <w:r>
        <w:rPr>
          <w:rFonts w:ascii="Times New Roman" w:hAnsi="Times New Roman"/>
          <w:sz w:val="28"/>
          <w:szCs w:val="28"/>
        </w:rPr>
        <w:fldChar w:fldCharType="separate"/>
      </w:r>
      <w:r>
        <w:rPr>
          <w:rFonts w:ascii="Times New Roman" w:hAnsi="Times New Roman"/>
          <w:sz w:val="28"/>
          <w:szCs w:val="28"/>
        </w:rPr>
        <w:t>49</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"_Toc117693208" </w:instrText>
      </w:r>
      <w:r>
        <w:fldChar w:fldCharType="separate"/>
      </w:r>
      <w:r>
        <w:rPr>
          <w:rStyle w:val="75"/>
          <w:rFonts w:hint="eastAsia" w:ascii="Times New Roman" w:hAnsi="Times New Roman" w:eastAsia="方正楷体简体"/>
          <w:color w:val="auto"/>
          <w:kern w:val="0"/>
          <w:sz w:val="28"/>
          <w:szCs w:val="28"/>
        </w:rPr>
        <w:t>第六节 加快建设现代化综合交通枢纽</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_Toc117693208 \h </w:instrText>
      </w:r>
      <w:r>
        <w:rPr>
          <w:rFonts w:ascii="Times New Roman" w:hAnsi="Times New Roman"/>
          <w:sz w:val="28"/>
          <w:szCs w:val="28"/>
        </w:rPr>
        <w:fldChar w:fldCharType="separate"/>
      </w:r>
      <w:r>
        <w:rPr>
          <w:rFonts w:ascii="Times New Roman" w:hAnsi="Times New Roman"/>
          <w:sz w:val="28"/>
          <w:szCs w:val="28"/>
        </w:rPr>
        <w:t>50</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"_Toc117693209" </w:instrText>
      </w:r>
      <w:r>
        <w:fldChar w:fldCharType="separate"/>
      </w:r>
      <w:r>
        <w:rPr>
          <w:rStyle w:val="75"/>
          <w:rFonts w:hint="eastAsia" w:ascii="Times New Roman" w:hAnsi="Times New Roman" w:eastAsia="方正楷体简体"/>
          <w:color w:val="auto"/>
          <w:kern w:val="0"/>
          <w:sz w:val="28"/>
          <w:szCs w:val="28"/>
        </w:rPr>
        <w:t>第七节 全面提升运输服务品质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_Toc117693209 \h </w:instrText>
      </w:r>
      <w:r>
        <w:rPr>
          <w:rFonts w:ascii="Times New Roman" w:hAnsi="Times New Roman"/>
          <w:sz w:val="28"/>
          <w:szCs w:val="28"/>
        </w:rPr>
        <w:fldChar w:fldCharType="separate"/>
      </w:r>
      <w:r>
        <w:rPr>
          <w:rFonts w:ascii="Times New Roman" w:hAnsi="Times New Roman"/>
          <w:sz w:val="28"/>
          <w:szCs w:val="28"/>
        </w:rPr>
        <w:t>51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"_Toc117693210" </w:instrText>
      </w:r>
      <w:r>
        <w:fldChar w:fldCharType="separate"/>
      </w:r>
      <w:r>
        <w:rPr>
          <w:rStyle w:val="75"/>
          <w:rFonts w:ascii="Times New Roman" w:hAnsi="Times New Roman"/>
          <w:color w:val="auto"/>
          <w:sz w:val="28"/>
          <w:szCs w:val="28"/>
        </w:rPr>
        <w:t>第八章 环境影响分析</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_Toc117693210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52</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"_Toc117693211" </w:instrText>
      </w:r>
      <w:r>
        <w:fldChar w:fldCharType="separate"/>
      </w:r>
      <w:r>
        <w:rPr>
          <w:rStyle w:val="75"/>
          <w:rFonts w:ascii="Times New Roman" w:hAnsi="Times New Roman"/>
          <w:color w:val="auto"/>
          <w:sz w:val="28"/>
          <w:szCs w:val="28"/>
        </w:rPr>
        <w:t>第九章 保障措施</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_Toc117693211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54</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"_Toc117693212" </w:instrText>
      </w:r>
      <w:r>
        <w:fldChar w:fldCharType="separate"/>
      </w:r>
      <w:r>
        <w:rPr>
          <w:rStyle w:val="75"/>
          <w:rFonts w:hint="eastAsia" w:ascii="Times New Roman" w:hAnsi="Times New Roman" w:eastAsia="方正楷体简体"/>
          <w:color w:val="auto"/>
          <w:kern w:val="0"/>
          <w:sz w:val="28"/>
          <w:szCs w:val="28"/>
        </w:rPr>
        <w:t>第一节 确保规划组织落实</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_Toc117693212 \h </w:instrText>
      </w:r>
      <w:r>
        <w:rPr>
          <w:rFonts w:ascii="Times New Roman" w:hAnsi="Times New Roman"/>
          <w:sz w:val="28"/>
          <w:szCs w:val="28"/>
        </w:rPr>
        <w:fldChar w:fldCharType="separate"/>
      </w:r>
      <w:r>
        <w:rPr>
          <w:rFonts w:ascii="Times New Roman" w:hAnsi="Times New Roman"/>
          <w:sz w:val="28"/>
          <w:szCs w:val="28"/>
        </w:rPr>
        <w:t>54</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"_Toc117693213" </w:instrText>
      </w:r>
      <w:r>
        <w:fldChar w:fldCharType="separate"/>
      </w:r>
      <w:r>
        <w:rPr>
          <w:rStyle w:val="75"/>
          <w:rFonts w:hint="eastAsia" w:ascii="Times New Roman" w:hAnsi="Times New Roman" w:eastAsia="方正楷体简体"/>
          <w:color w:val="auto"/>
          <w:kern w:val="0"/>
          <w:sz w:val="28"/>
          <w:szCs w:val="28"/>
        </w:rPr>
        <w:t>第二节 加强规划相互衔接</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_Toc117693213 \h </w:instrText>
      </w:r>
      <w:r>
        <w:rPr>
          <w:rFonts w:ascii="Times New Roman" w:hAnsi="Times New Roman"/>
          <w:sz w:val="28"/>
          <w:szCs w:val="28"/>
        </w:rPr>
        <w:fldChar w:fldCharType="separate"/>
      </w:r>
      <w:r>
        <w:rPr>
          <w:rFonts w:ascii="Times New Roman" w:hAnsi="Times New Roman"/>
          <w:sz w:val="28"/>
          <w:szCs w:val="28"/>
        </w:rPr>
        <w:t>54</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"_Toc117693214" </w:instrText>
      </w:r>
      <w:r>
        <w:fldChar w:fldCharType="separate"/>
      </w:r>
      <w:r>
        <w:rPr>
          <w:rStyle w:val="75"/>
          <w:rFonts w:hint="eastAsia" w:ascii="Times New Roman" w:hAnsi="Times New Roman" w:eastAsia="方正楷体简体"/>
          <w:color w:val="auto"/>
          <w:kern w:val="0"/>
          <w:sz w:val="28"/>
          <w:szCs w:val="28"/>
        </w:rPr>
        <w:t>第三节 加大资金筹措力度</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_Toc117693214 \h </w:instrText>
      </w:r>
      <w:r>
        <w:rPr>
          <w:rFonts w:ascii="Times New Roman" w:hAnsi="Times New Roman"/>
          <w:sz w:val="28"/>
          <w:szCs w:val="28"/>
        </w:rPr>
        <w:fldChar w:fldCharType="separate"/>
      </w:r>
      <w:r>
        <w:rPr>
          <w:rFonts w:ascii="Times New Roman" w:hAnsi="Times New Roman"/>
          <w:sz w:val="28"/>
          <w:szCs w:val="28"/>
        </w:rPr>
        <w:t>55</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"_Toc117693215" </w:instrText>
      </w:r>
      <w:r>
        <w:fldChar w:fldCharType="separate"/>
      </w:r>
      <w:r>
        <w:rPr>
          <w:rStyle w:val="75"/>
          <w:rFonts w:hint="eastAsia" w:ascii="Times New Roman" w:hAnsi="Times New Roman" w:eastAsia="方正楷体简体"/>
          <w:color w:val="auto"/>
          <w:kern w:val="0"/>
          <w:sz w:val="28"/>
          <w:szCs w:val="28"/>
        </w:rPr>
        <w:t>第四节 强化项目用地保障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_Toc117693215 \h </w:instrText>
      </w:r>
      <w:r>
        <w:rPr>
          <w:rFonts w:ascii="Times New Roman" w:hAnsi="Times New Roman"/>
          <w:sz w:val="28"/>
          <w:szCs w:val="28"/>
        </w:rPr>
        <w:fldChar w:fldCharType="separate"/>
      </w:r>
      <w:r>
        <w:rPr>
          <w:rFonts w:ascii="Times New Roman" w:hAnsi="Times New Roman"/>
          <w:sz w:val="28"/>
          <w:szCs w:val="28"/>
        </w:rPr>
        <w:t>55</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"_Toc117693216" </w:instrText>
      </w:r>
      <w:r>
        <w:fldChar w:fldCharType="separate"/>
      </w:r>
      <w:r>
        <w:rPr>
          <w:rStyle w:val="75"/>
          <w:rFonts w:hint="eastAsia" w:ascii="Times New Roman" w:hAnsi="Times New Roman" w:eastAsia="方正楷体简体"/>
          <w:color w:val="auto"/>
          <w:kern w:val="0"/>
          <w:sz w:val="28"/>
          <w:szCs w:val="28"/>
        </w:rPr>
        <w:t>第五节 预留通信设施空间</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_Toc117693216 \h </w:instrText>
      </w:r>
      <w:r>
        <w:rPr>
          <w:rFonts w:ascii="Times New Roman" w:hAnsi="Times New Roman"/>
          <w:sz w:val="28"/>
          <w:szCs w:val="28"/>
        </w:rPr>
        <w:fldChar w:fldCharType="separate"/>
      </w:r>
      <w:r>
        <w:rPr>
          <w:rFonts w:ascii="Times New Roman" w:hAnsi="Times New Roman"/>
          <w:sz w:val="28"/>
          <w:szCs w:val="28"/>
        </w:rPr>
        <w:t>55</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900" w:firstLineChars="300"/>
        <w:rPr>
          <w:rFonts w:ascii="Times New Roman" w:hAnsi="Times New Roman" w:eastAsiaTheme="minorEastAsia"/>
          <w:sz w:val="28"/>
          <w:szCs w:val="28"/>
        </w:rPr>
      </w:pPr>
      <w:r>
        <w:fldChar w:fldCharType="begin"/>
      </w:r>
      <w:r>
        <w:instrText xml:space="preserve"> HYPERLINK \l "_Toc117693217" </w:instrText>
      </w:r>
      <w:r>
        <w:fldChar w:fldCharType="separate"/>
      </w:r>
      <w:r>
        <w:rPr>
          <w:rStyle w:val="75"/>
          <w:rFonts w:hint="eastAsia" w:ascii="Times New Roman" w:hAnsi="Times New Roman" w:eastAsia="方正楷体简体"/>
          <w:color w:val="auto"/>
          <w:kern w:val="0"/>
          <w:sz w:val="28"/>
          <w:szCs w:val="28"/>
        </w:rPr>
        <w:t>第六节 落实规划评估监督</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_Toc117693217 \h </w:instrText>
      </w:r>
      <w:r>
        <w:rPr>
          <w:rFonts w:ascii="Times New Roman" w:hAnsi="Times New Roman"/>
          <w:sz w:val="28"/>
          <w:szCs w:val="28"/>
        </w:rPr>
        <w:fldChar w:fldCharType="separate"/>
      </w:r>
      <w:r>
        <w:rPr>
          <w:rFonts w:ascii="Times New Roman" w:hAnsi="Times New Roman"/>
          <w:sz w:val="28"/>
          <w:szCs w:val="28"/>
        </w:rPr>
        <w:t>56</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"_Toc117693218" </w:instrText>
      </w:r>
      <w:r>
        <w:fldChar w:fldCharType="separate"/>
      </w:r>
      <w:r>
        <w:rPr>
          <w:rStyle w:val="75"/>
          <w:rFonts w:ascii="Times New Roman" w:hAnsi="Times New Roman"/>
          <w:color w:val="auto"/>
          <w:sz w:val="28"/>
          <w:szCs w:val="28"/>
        </w:rPr>
        <w:t>附表一  阳东区综合交通运输通道布局一览表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_Toc117693218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57</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"_Toc117693219" </w:instrText>
      </w:r>
      <w:r>
        <w:fldChar w:fldCharType="separate"/>
      </w:r>
      <w:r>
        <w:rPr>
          <w:rStyle w:val="75"/>
          <w:rFonts w:ascii="Times New Roman" w:hAnsi="Times New Roman"/>
          <w:color w:val="auto"/>
          <w:sz w:val="28"/>
          <w:szCs w:val="28"/>
        </w:rPr>
        <w:t>附表二  阳东区高快速铁路网络布局规划一览表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_Toc117693219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58</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"_Toc117693220" </w:instrText>
      </w:r>
      <w:r>
        <w:fldChar w:fldCharType="separate"/>
      </w:r>
      <w:r>
        <w:rPr>
          <w:rStyle w:val="75"/>
          <w:rFonts w:ascii="Times New Roman" w:hAnsi="Times New Roman"/>
          <w:color w:val="auto"/>
          <w:sz w:val="28"/>
          <w:szCs w:val="28"/>
        </w:rPr>
        <w:t>附表三  阳东区高速公路网络布局规划一览表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_Toc117693220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59</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"_Toc117693221" </w:instrText>
      </w:r>
      <w:r>
        <w:fldChar w:fldCharType="separate"/>
      </w:r>
      <w:r>
        <w:rPr>
          <w:rStyle w:val="75"/>
          <w:rFonts w:ascii="Times New Roman" w:hAnsi="Times New Roman"/>
          <w:color w:val="auto"/>
          <w:sz w:val="28"/>
          <w:szCs w:val="28"/>
        </w:rPr>
        <w:t>附表四  阳东城区快速干线网络布局规划一览表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_Toc117693221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60</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"_Toc117693222" </w:instrText>
      </w:r>
      <w:r>
        <w:fldChar w:fldCharType="separate"/>
      </w:r>
      <w:r>
        <w:rPr>
          <w:rStyle w:val="75"/>
          <w:rFonts w:ascii="Times New Roman" w:hAnsi="Times New Roman"/>
          <w:color w:val="auto"/>
          <w:sz w:val="28"/>
          <w:szCs w:val="28"/>
        </w:rPr>
        <w:t>附表五  阳东区普通干线网络布局规划一览表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_Toc117693222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61</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"_Toc117693223" </w:instrText>
      </w:r>
      <w:r>
        <w:fldChar w:fldCharType="separate"/>
      </w:r>
      <w:r>
        <w:rPr>
          <w:rStyle w:val="75"/>
          <w:rFonts w:ascii="Times New Roman" w:hAnsi="Times New Roman"/>
          <w:color w:val="auto"/>
          <w:sz w:val="28"/>
          <w:szCs w:val="28"/>
        </w:rPr>
        <w:t>附表六  阳东与周边区县干线网络衔接规划一览表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_Toc117693223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66</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"_Toc117693224" </w:instrText>
      </w:r>
      <w:r>
        <w:fldChar w:fldCharType="separate"/>
      </w:r>
      <w:r>
        <w:rPr>
          <w:rStyle w:val="75"/>
          <w:rFonts w:ascii="Times New Roman" w:hAnsi="Times New Roman"/>
          <w:color w:val="auto"/>
          <w:sz w:val="28"/>
          <w:szCs w:val="28"/>
        </w:rPr>
        <w:t>附表七  阳东区旅游公路布局规划一览表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_Toc117693224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68</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"_Toc117693225" </w:instrText>
      </w:r>
      <w:r>
        <w:fldChar w:fldCharType="separate"/>
      </w:r>
      <w:r>
        <w:rPr>
          <w:rStyle w:val="75"/>
          <w:rFonts w:ascii="Times New Roman" w:hAnsi="Times New Roman"/>
          <w:color w:val="auto"/>
          <w:sz w:val="28"/>
          <w:szCs w:val="28"/>
        </w:rPr>
        <w:t>附表八  阳东区综合客运枢纽规划一览表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_Toc117693225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69</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"_Toc117693226" </w:instrText>
      </w:r>
      <w:r>
        <w:fldChar w:fldCharType="separate"/>
      </w:r>
      <w:r>
        <w:rPr>
          <w:rStyle w:val="75"/>
          <w:rFonts w:ascii="Times New Roman" w:hAnsi="Times New Roman"/>
          <w:color w:val="auto"/>
          <w:sz w:val="28"/>
          <w:szCs w:val="28"/>
        </w:rPr>
        <w:t>附表九  阳东区综合货运枢纽布局规划一览表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_Toc117693226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70</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Fonts w:ascii="Times New Roman" w:hAnsi="Times New Roman"/>
          <w:sz w:val="28"/>
          <w:szCs w:val="28"/>
        </w:rPr>
      </w:pPr>
      <w:r>
        <w:fldChar w:fldCharType="begin"/>
      </w:r>
      <w:r>
        <w:instrText xml:space="preserve"> HYPERLINK \l "_Toc117693227" </w:instrText>
      </w:r>
      <w:r>
        <w:fldChar w:fldCharType="separate"/>
      </w:r>
      <w:r>
        <w:rPr>
          <w:rStyle w:val="75"/>
          <w:rFonts w:ascii="Times New Roman" w:hAnsi="Times New Roman"/>
          <w:color w:val="auto"/>
          <w:sz w:val="28"/>
          <w:szCs w:val="28"/>
        </w:rPr>
        <w:t>附表十  阳东区高速公路网用地红线占用国土空间情况一览表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_Toc117693227 \h </w:instrText>
      </w:r>
      <w:r>
        <w:rPr>
          <w:rFonts w:ascii="Times New Roman" w:hAnsi="Times New Roman"/>
          <w:sz w:val="28"/>
          <w:szCs w:val="28"/>
        </w:rPr>
        <w:fldChar w:fldCharType="separate"/>
      </w:r>
      <w:r>
        <w:rPr>
          <w:rFonts w:ascii="Times New Roman" w:hAnsi="Times New Roman"/>
          <w:sz w:val="28"/>
          <w:szCs w:val="28"/>
        </w:rPr>
        <w:t>71</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rPr>
          <w:rStyle w:val="75"/>
          <w:rFonts w:ascii="Times New Roman" w:hAnsi="Times New Roman"/>
          <w:color w:val="auto"/>
          <w:sz w:val="28"/>
          <w:szCs w:val="28"/>
        </w:rPr>
      </w:pPr>
      <w:r>
        <w:fldChar w:fldCharType="begin"/>
      </w:r>
      <w:r>
        <w:instrText xml:space="preserve"> HYPERLINK \l "_Toc117693228" </w:instrText>
      </w:r>
      <w:r>
        <w:fldChar w:fldCharType="separate"/>
      </w:r>
      <w:r>
        <w:rPr>
          <w:rStyle w:val="75"/>
          <w:rFonts w:ascii="Times New Roman" w:hAnsi="Times New Roman"/>
          <w:color w:val="auto"/>
          <w:spacing w:val="-10"/>
          <w:sz w:val="28"/>
          <w:szCs w:val="28"/>
        </w:rPr>
        <w:t>附表十一  阳东区干线公路网用地红线占用国土空间情况一览表</w:t>
      </w:r>
      <w:r>
        <w:rPr>
          <w:rStyle w:val="75"/>
          <w:rFonts w:ascii="Times New Roman" w:hAnsi="Times New Roman"/>
          <w:color w:val="auto"/>
          <w:sz w:val="28"/>
          <w:szCs w:val="28"/>
        </w:rPr>
        <w:tab/>
      </w:r>
      <w:r>
        <w:rPr>
          <w:rStyle w:val="75"/>
          <w:rFonts w:ascii="Times New Roman" w:hAnsi="Times New Roman"/>
          <w:color w:val="auto"/>
          <w:sz w:val="28"/>
          <w:szCs w:val="28"/>
        </w:rPr>
        <w:fldChar w:fldCharType="begin"/>
      </w:r>
      <w:r>
        <w:rPr>
          <w:rStyle w:val="75"/>
          <w:rFonts w:ascii="Times New Roman" w:hAnsi="Times New Roman"/>
          <w:color w:val="auto"/>
          <w:sz w:val="28"/>
          <w:szCs w:val="28"/>
        </w:rPr>
        <w:instrText xml:space="preserve"> PAGEREF _Toc117693228 \h </w:instrText>
      </w:r>
      <w:r>
        <w:rPr>
          <w:rStyle w:val="75"/>
          <w:rFonts w:ascii="Times New Roman" w:hAnsi="Times New Roman"/>
          <w:color w:val="auto"/>
          <w:sz w:val="28"/>
          <w:szCs w:val="28"/>
        </w:rPr>
        <w:fldChar w:fldCharType="separate"/>
      </w:r>
      <w:r>
        <w:rPr>
          <w:rStyle w:val="75"/>
          <w:rFonts w:ascii="Times New Roman" w:hAnsi="Times New Roman"/>
          <w:color w:val="auto"/>
          <w:sz w:val="28"/>
          <w:szCs w:val="28"/>
        </w:rPr>
        <w:t>72</w:t>
      </w:r>
      <w:r>
        <w:rPr>
          <w:rStyle w:val="75"/>
          <w:rFonts w:ascii="Times New Roman" w:hAnsi="Times New Roman"/>
          <w:color w:val="auto"/>
          <w:sz w:val="28"/>
          <w:szCs w:val="28"/>
        </w:rPr>
        <w:fldChar w:fldCharType="end"/>
      </w:r>
      <w:r>
        <w:rPr>
          <w:rStyle w:val="75"/>
          <w:rFonts w:ascii="Times New Roman" w:hAnsi="Times New Roman"/>
          <w:color w:val="auto"/>
          <w:sz w:val="28"/>
          <w:szCs w:val="28"/>
        </w:rPr>
        <w:fldChar w:fldCharType="end"/>
      </w:r>
    </w:p>
    <w:p>
      <w:pPr>
        <w:pStyle w:val="42"/>
        <w:spacing w:line="390" w:lineRule="exact"/>
        <w:rPr>
          <w:rFonts w:ascii="Times New Roman" w:hAnsi="Times New Roman" w:eastAsiaTheme="minorEastAsia"/>
          <w:sz w:val="28"/>
          <w:szCs w:val="28"/>
        </w:rPr>
      </w:pPr>
      <w:r>
        <w:fldChar w:fldCharType="begin"/>
      </w:r>
      <w:r>
        <w:instrText xml:space="preserve"> HYPERLINK \l "_Toc117693229" </w:instrText>
      </w:r>
      <w:r>
        <w:fldChar w:fldCharType="separate"/>
      </w:r>
      <w:r>
        <w:rPr>
          <w:rStyle w:val="75"/>
          <w:rFonts w:ascii="Times New Roman" w:hAnsi="Times New Roman"/>
          <w:color w:val="auto"/>
          <w:sz w:val="28"/>
          <w:szCs w:val="28"/>
        </w:rPr>
        <w:t>附表十二  阳东区重点交通建设项目一览表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_Toc117693229 \h </w:instrText>
      </w:r>
      <w:r>
        <w:rPr>
          <w:rFonts w:ascii="Times New Roman" w:hAnsi="Times New Roman"/>
          <w:sz w:val="28"/>
          <w:szCs w:val="28"/>
        </w:rPr>
        <w:fldChar w:fldCharType="separate"/>
      </w:r>
      <w:r>
        <w:rPr>
          <w:rFonts w:ascii="Times New Roman" w:hAnsi="Times New Roman"/>
          <w:sz w:val="28"/>
          <w:szCs w:val="28"/>
        </w:rPr>
        <w:t>73</w:t>
      </w:r>
      <w:r>
        <w:rPr>
          <w:rFonts w:ascii="Times New Roman" w:hAnsi="Times New Roman"/>
          <w:sz w:val="28"/>
          <w:szCs w:val="28"/>
        </w:rPr>
        <w:fldChar w:fldCharType="end"/>
      </w:r>
      <w:r>
        <w:rPr>
          <w:rFonts w:ascii="Times New Roman" w:hAnsi="Times New Roman"/>
          <w:sz w:val="28"/>
          <w:szCs w:val="28"/>
        </w:rPr>
        <w:fldChar w:fldCharType="end"/>
      </w:r>
    </w:p>
    <w:p>
      <w:pPr>
        <w:pStyle w:val="42"/>
        <w:spacing w:line="390" w:lineRule="exact"/>
        <w:ind w:firstLine="560"/>
      </w:pPr>
      <w:r>
        <w:rPr>
          <w:rFonts w:ascii="Times New Roman" w:hAnsi="Times New Roman"/>
          <w:sz w:val="28"/>
          <w:szCs w:val="28"/>
        </w:rPr>
        <w:fldChar w:fldCharType="end"/>
      </w:r>
    </w:p>
    <w:p>
      <w:pPr>
        <w:ind w:firstLine="560"/>
        <w:rPr>
          <w:rFonts w:ascii="黑体" w:hAnsi="黑体" w:eastAsia="黑体"/>
        </w:rPr>
      </w:pPr>
    </w:p>
    <w:p>
      <w:pPr>
        <w:pStyle w:val="42"/>
        <w:sectPr>
          <w:headerReference r:id="rId13" w:type="first"/>
          <w:footerReference r:id="rId16" w:type="first"/>
          <w:headerReference r:id="rId11" w:type="default"/>
          <w:footerReference r:id="rId14" w:type="default"/>
          <w:headerReference r:id="rId12" w:type="even"/>
          <w:footerReference r:id="rId15" w:type="even"/>
          <w:pgSz w:w="11906" w:h="16838"/>
          <w:pgMar w:top="1814" w:right="1531" w:bottom="1814" w:left="1531" w:header="851" w:footer="992" w:gutter="0"/>
          <w:pgNumType w:fmt="upperRoman" w:start="1"/>
          <w:cols w:space="720" w:num="1"/>
          <w:docGrid w:type="lines" w:linePitch="381" w:charSpace="0"/>
        </w:sectPr>
      </w:pPr>
    </w:p>
    <w:p>
      <w:pPr>
        <w:pStyle w:val="2"/>
        <w:keepNext w:val="0"/>
        <w:keepLines w:val="0"/>
        <w:spacing w:line="570" w:lineRule="exact"/>
        <w:textAlignment w:val="auto"/>
        <w:rPr>
          <w:rFonts w:ascii="Times New Roman" w:hAnsi="Times New Roman" w:eastAsia="方正小标宋简体"/>
          <w:b w:val="0"/>
          <w:sz w:val="44"/>
        </w:rPr>
      </w:pPr>
      <w:bookmarkStart w:id="1" w:name="_Toc99633283"/>
      <w:bookmarkStart w:id="2" w:name="_Toc98162496"/>
      <w:bookmarkStart w:id="3" w:name="_Toc82590118"/>
      <w:bookmarkStart w:id="4" w:name="_Toc57713180"/>
      <w:bookmarkStart w:id="5" w:name="_Toc117693176"/>
      <w:bookmarkStart w:id="6" w:name="_Toc89245742"/>
      <w:bookmarkStart w:id="7" w:name="_Toc67664669"/>
      <w:bookmarkStart w:id="8" w:name="_Toc62033295"/>
      <w:bookmarkStart w:id="9" w:name="_Toc67664670"/>
      <w:r>
        <w:rPr>
          <w:rFonts w:hint="eastAsia" w:ascii="Times New Roman" w:hAnsi="Times New Roman" w:eastAsia="方正小标宋简体"/>
          <w:b w:val="0"/>
          <w:sz w:val="44"/>
        </w:rPr>
        <w:t xml:space="preserve">前 </w:t>
      </w:r>
      <w:r>
        <w:rPr>
          <w:rFonts w:ascii="Times New Roman" w:hAnsi="Times New Roman" w:eastAsia="方正小标宋简体"/>
          <w:b w:val="0"/>
          <w:sz w:val="44"/>
        </w:rPr>
        <w:t xml:space="preserve"> </w:t>
      </w:r>
      <w:r>
        <w:rPr>
          <w:rFonts w:hint="eastAsia" w:ascii="Times New Roman" w:hAnsi="Times New Roman" w:eastAsia="方正小标宋简体"/>
          <w:b w:val="0"/>
          <w:sz w:val="44"/>
        </w:rPr>
        <w:t>言</w:t>
      </w:r>
      <w:bookmarkEnd w:id="1"/>
      <w:bookmarkEnd w:id="2"/>
      <w:bookmarkEnd w:id="3"/>
      <w:bookmarkEnd w:id="4"/>
      <w:bookmarkEnd w:id="5"/>
      <w:bookmarkEnd w:id="6"/>
      <w:bookmarkEnd w:id="7"/>
    </w:p>
    <w:p>
      <w:pPr>
        <w:widowControl w:val="0"/>
        <w:adjustRightInd w:val="0"/>
        <w:snapToGrid w:val="0"/>
        <w:spacing w:line="400" w:lineRule="exact"/>
        <w:ind w:firstLine="640"/>
        <w:jc w:val="both"/>
        <w:rPr>
          <w:rFonts w:eastAsia="方正仿宋简体"/>
          <w:sz w:val="32"/>
        </w:rPr>
      </w:pP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交通运输是国民经济中具有基础性、先导性、战略性的产业，是重要的服务性行业和现代化经济体系的重要组成部分，是构建新发展格局的重要支撑和服务人民美好生活、促进共同富裕的坚实保障。全面贯彻落实党的二十大、二十届二中全会和中央经济工作会议精神，深入贯彻落实习近平总书记对广东重要讲话和重要指示精神，落实省委“1310”具体部署、市委“433”工作等安排，阳东区交通运输局根据交通强国、交通强省建设要求和阳东区委</w:t>
      </w:r>
      <w:r>
        <w:rPr>
          <w:rFonts w:hint="eastAsia" w:eastAsia="方正仿宋简体"/>
          <w:color w:val="auto"/>
          <w:sz w:val="32"/>
          <w:lang w:eastAsia="zh-CN"/>
        </w:rPr>
        <w:t>、区</w:t>
      </w:r>
      <w:r>
        <w:rPr>
          <w:rFonts w:hint="eastAsia" w:eastAsia="方正仿宋简体"/>
          <w:color w:val="auto"/>
          <w:sz w:val="32"/>
        </w:rPr>
        <w:t>政府工作安排，组织编制了《阳东区综合交通运输体系中长期发展规划》。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规划》立足阳东实际，在对阳东综合交通现状评估基础上，结合战略定位新要求、产业人口发展新趋势、交通发展新使命，提出了“扼城向海，双区驱动，乡村振兴”发展战略和“区域融合、同城一体、区内畅达和品质交通”发展策略，构建了以综合运输通道为引领、轨道交通和高速公路为骨架、普通国省道为主干、农村公路网为基础的，“互联互通、立体高效、结构优化、衔接顺畅、绿色智慧”综合立体交通网络。</w:t>
      </w:r>
    </w:p>
    <w:p>
      <w:pPr>
        <w:pStyle w:val="6"/>
        <w:adjustRightInd w:val="0"/>
        <w:snapToGrid w:val="0"/>
        <w:spacing w:line="520" w:lineRule="exact"/>
        <w:ind w:firstLine="640"/>
        <w:rPr>
          <w:rFonts w:ascii="仿宋_GB2312" w:hAnsi="华文中宋" w:eastAsia="仿宋_GB2312"/>
          <w:color w:val="auto"/>
          <w:szCs w:val="28"/>
        </w:rPr>
        <w:sectPr>
          <w:footerReference r:id="rId17" w:type="default"/>
          <w:pgSz w:w="11906" w:h="16838"/>
          <w:pgMar w:top="1814" w:right="1531" w:bottom="1814" w:left="1531" w:header="567" w:footer="1531" w:gutter="0"/>
          <w:pgNumType w:start="1"/>
          <w:cols w:space="720" w:num="1"/>
          <w:docGrid w:type="lines" w:linePitch="381" w:charSpace="0"/>
        </w:sectPr>
      </w:pPr>
      <w:r>
        <w:rPr>
          <w:rFonts w:hint="eastAsia" w:eastAsia="方正仿宋简体"/>
          <w:color w:val="auto"/>
          <w:sz w:val="32"/>
        </w:rPr>
        <w:t>《规划》是以发展战略为主的指导性规划，是阳东打造打造融湾承接平台，构建融湾交通体系和阳江东部宜居样板区的重要载体，是优化资源配置、建设重大工程项目、引导社会资本投向、制定年度计划及相关政策的重要依据。规划范围为阳东区全境，面积约1703平方公里，涵盖铁路、公路、水运、民航等，规划期限为2021至20</w:t>
      </w:r>
      <w:r>
        <w:rPr>
          <w:rFonts w:eastAsia="方正仿宋简体"/>
          <w:color w:val="auto"/>
          <w:sz w:val="32"/>
        </w:rPr>
        <w:t>3</w:t>
      </w:r>
      <w:r>
        <w:rPr>
          <w:rFonts w:hint="eastAsia" w:eastAsia="方正仿宋简体"/>
          <w:color w:val="auto"/>
          <w:sz w:val="32"/>
        </w:rPr>
        <w:t>5年，其中近期为202</w:t>
      </w:r>
      <w:r>
        <w:rPr>
          <w:rFonts w:eastAsia="方正仿宋简体"/>
          <w:color w:val="auto"/>
          <w:sz w:val="32"/>
        </w:rPr>
        <w:t>1</w:t>
      </w:r>
      <w:r>
        <w:rPr>
          <w:rFonts w:hint="eastAsia" w:eastAsia="方正仿宋简体"/>
          <w:color w:val="auto"/>
          <w:sz w:val="32"/>
        </w:rPr>
        <w:t>-2025年，中远期为2026-2035年，远景展望至本世纪</w:t>
      </w:r>
      <w:r>
        <w:rPr>
          <w:rFonts w:eastAsia="方正仿宋简体"/>
          <w:color w:val="auto"/>
          <w:sz w:val="32"/>
        </w:rPr>
        <w:t>中叶</w:t>
      </w:r>
      <w:r>
        <w:rPr>
          <w:rFonts w:hint="eastAsia" w:eastAsia="方正仿宋简体"/>
          <w:color w:val="auto"/>
          <w:sz w:val="32"/>
        </w:rPr>
        <w:t>。</w:t>
      </w:r>
    </w:p>
    <w:bookmarkEnd w:id="8"/>
    <w:bookmarkEnd w:id="9"/>
    <w:p>
      <w:pPr>
        <w:pStyle w:val="2"/>
        <w:keepNext w:val="0"/>
        <w:keepLines w:val="0"/>
        <w:spacing w:line="570" w:lineRule="exact"/>
        <w:textAlignment w:val="auto"/>
        <w:rPr>
          <w:rFonts w:ascii="Times New Roman" w:hAnsi="Times New Roman" w:eastAsia="方正小标宋简体"/>
          <w:b w:val="0"/>
          <w:sz w:val="44"/>
        </w:rPr>
      </w:pPr>
      <w:bookmarkStart w:id="10" w:name="_Toc117693177"/>
      <w:r>
        <w:rPr>
          <w:rFonts w:hint="eastAsia" w:ascii="Times New Roman" w:hAnsi="Times New Roman" w:eastAsia="方正小标宋简体"/>
          <w:b w:val="0"/>
          <w:sz w:val="44"/>
        </w:rPr>
        <w:t>第一章 发展基础</w:t>
      </w:r>
      <w:bookmarkEnd w:id="10"/>
    </w:p>
    <w:p>
      <w:pPr>
        <w:widowControl w:val="0"/>
        <w:adjustRightInd w:val="0"/>
        <w:snapToGrid w:val="0"/>
        <w:spacing w:line="570" w:lineRule="exact"/>
        <w:ind w:firstLine="640"/>
        <w:jc w:val="both"/>
        <w:rPr>
          <w:rFonts w:eastAsia="方正仿宋简体"/>
          <w:sz w:val="32"/>
        </w:rPr>
      </w:pPr>
    </w:p>
    <w:p>
      <w:pPr>
        <w:pStyle w:val="3"/>
        <w:keepNext w:val="0"/>
        <w:keepLines w:val="0"/>
        <w:widowControl w:val="0"/>
        <w:adjustRightInd w:val="0"/>
        <w:snapToGrid w:val="0"/>
        <w:spacing w:before="0" w:after="0" w:line="570" w:lineRule="exact"/>
        <w:jc w:val="center"/>
        <w:rPr>
          <w:rFonts w:ascii="黑体" w:hAnsi="黑体"/>
          <w:b w:val="0"/>
          <w:bCs w:val="0"/>
          <w:kern w:val="0"/>
          <w:szCs w:val="20"/>
        </w:rPr>
      </w:pPr>
      <w:bookmarkStart w:id="11" w:name="_Toc62033296"/>
      <w:bookmarkStart w:id="12" w:name="_Toc67664671"/>
      <w:bookmarkStart w:id="13" w:name="_Toc117693178"/>
      <w:r>
        <w:rPr>
          <w:rFonts w:hint="eastAsia" w:ascii="黑体" w:hAnsi="黑体"/>
          <w:b w:val="0"/>
          <w:bCs w:val="0"/>
          <w:kern w:val="0"/>
          <w:szCs w:val="20"/>
        </w:rPr>
        <w:t>第一节 发展</w:t>
      </w:r>
      <w:bookmarkEnd w:id="11"/>
      <w:bookmarkEnd w:id="12"/>
      <w:r>
        <w:rPr>
          <w:rFonts w:hint="eastAsia" w:ascii="黑体" w:hAnsi="黑体"/>
          <w:b w:val="0"/>
          <w:bCs w:val="0"/>
          <w:kern w:val="0"/>
          <w:szCs w:val="20"/>
        </w:rPr>
        <w:t>现状</w:t>
      </w:r>
      <w:bookmarkEnd w:id="13"/>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改革开放以来，阳东区社会经济发展取得巨大成就，2020年，阳东区地区生产总值达到</w:t>
      </w:r>
      <w:r>
        <w:rPr>
          <w:rFonts w:eastAsia="方正仿宋简体"/>
          <w:color w:val="auto"/>
          <w:sz w:val="32"/>
        </w:rPr>
        <w:t>308.56</w:t>
      </w:r>
      <w:r>
        <w:rPr>
          <w:rFonts w:hint="eastAsia" w:eastAsia="方正仿宋简体"/>
          <w:color w:val="auto"/>
          <w:sz w:val="32"/>
        </w:rPr>
        <w:t>亿元，人均生产总值达65637元。与此同时，随着对外高铁、对外高速公路、普通国省干线和农村公路的逐步完善，阳东交通发展也取得了长足进步，基本形成由公路、水路、铁路等多种交通运输方式组成的综合运输体系，为支撑阳东区经济社会平稳较快发展、全面建成小康社会作出了积极贡献。</w:t>
      </w:r>
    </w:p>
    <w:p>
      <w:pPr>
        <w:pStyle w:val="4"/>
        <w:keepNext w:val="0"/>
        <w:keepLines w:val="0"/>
        <w:widowControl w:val="0"/>
        <w:adjustRightInd w:val="0"/>
        <w:snapToGrid w:val="0"/>
        <w:spacing w:before="0" w:after="0" w:line="560" w:lineRule="exact"/>
        <w:ind w:firstLine="640"/>
        <w:jc w:val="both"/>
        <w:rPr>
          <w:rFonts w:eastAsia="方正楷体简体"/>
          <w:b w:val="0"/>
          <w:bCs w:val="0"/>
        </w:rPr>
      </w:pPr>
      <w:r>
        <w:rPr>
          <w:rFonts w:hint="eastAsia" w:eastAsia="方正楷体简体"/>
          <w:b w:val="0"/>
          <w:bCs w:val="0"/>
        </w:rPr>
        <w:t>（一）交通基础设施发展现状</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高速铁路实现“零的突破”。2018年，深茂铁路阳东段正式开通运营，并在阳东境内设阳东站，阳东实现了高快速铁路“零”突破，阔步迈入高铁时代，为阳东融入粤港澳大湾区建设提供了重要契机和强大动力。通车当年，阳东站到发旅客7.7万人，2019年实现翻一番达到16万人，高铁需求快速激活。铁路规划项目前期工作稳步推进，广湛高铁阳东段“十三五”末已启动建设，预计全线于2</w:t>
      </w:r>
      <w:r>
        <w:rPr>
          <w:rFonts w:eastAsia="方正仿宋简体"/>
          <w:color w:val="auto"/>
          <w:sz w:val="32"/>
        </w:rPr>
        <w:t>024</w:t>
      </w:r>
      <w:r>
        <w:rPr>
          <w:rFonts w:hint="eastAsia" w:eastAsia="方正仿宋简体"/>
          <w:color w:val="auto"/>
          <w:sz w:val="32"/>
        </w:rPr>
        <w:t>年建成通车。</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高速公路主骨架基本</w:t>
      </w:r>
      <w:r>
        <w:rPr>
          <w:rFonts w:eastAsia="方正仿宋简体"/>
          <w:color w:val="auto"/>
          <w:sz w:val="32"/>
        </w:rPr>
        <w:t>形成</w:t>
      </w:r>
      <w:r>
        <w:rPr>
          <w:rFonts w:hint="eastAsia" w:eastAsia="方正仿宋简体"/>
          <w:color w:val="auto"/>
          <w:sz w:val="32"/>
        </w:rPr>
        <w:t>。截至2</w:t>
      </w:r>
      <w:r>
        <w:rPr>
          <w:rFonts w:eastAsia="方正仿宋简体"/>
          <w:color w:val="auto"/>
          <w:sz w:val="32"/>
        </w:rPr>
        <w:t>020</w:t>
      </w:r>
      <w:r>
        <w:rPr>
          <w:rFonts w:hint="eastAsia" w:eastAsia="方正仿宋简体"/>
          <w:color w:val="auto"/>
          <w:sz w:val="32"/>
        </w:rPr>
        <w:t>年，全区高速公路总里程达到1</w:t>
      </w:r>
      <w:r>
        <w:rPr>
          <w:rFonts w:eastAsia="方正仿宋简体"/>
          <w:color w:val="auto"/>
          <w:sz w:val="32"/>
        </w:rPr>
        <w:t>07</w:t>
      </w:r>
      <w:r>
        <w:rPr>
          <w:rFonts w:hint="eastAsia" w:eastAsia="方正仿宋简体"/>
          <w:color w:val="auto"/>
          <w:sz w:val="32"/>
        </w:rPr>
        <w:t>公里，高速公路密度为6</w:t>
      </w:r>
      <w:r>
        <w:rPr>
          <w:rFonts w:eastAsia="方正仿宋简体"/>
          <w:color w:val="auto"/>
          <w:sz w:val="32"/>
        </w:rPr>
        <w:t>.3</w:t>
      </w:r>
      <w:r>
        <w:rPr>
          <w:rFonts w:hint="eastAsia" w:eastAsia="方正仿宋简体"/>
          <w:color w:val="auto"/>
          <w:sz w:val="32"/>
        </w:rPr>
        <w:t>公里/百平方公里，在阳江各县（市、区）中排名第2，仅次于江城区8</w:t>
      </w:r>
      <w:r>
        <w:rPr>
          <w:rFonts w:eastAsia="方正仿宋简体"/>
          <w:color w:val="auto"/>
          <w:sz w:val="32"/>
        </w:rPr>
        <w:t>.2</w:t>
      </w:r>
      <w:r>
        <w:rPr>
          <w:rFonts w:hint="eastAsia" w:eastAsia="方正仿宋简体"/>
          <w:color w:val="auto"/>
          <w:sz w:val="32"/>
        </w:rPr>
        <w:t>公里/百平方公里的高速公路密度。顺利完成沈海高速公路开平至阳江段改扩建工程（2</w:t>
      </w:r>
      <w:r>
        <w:rPr>
          <w:rFonts w:eastAsia="方正仿宋简体"/>
          <w:color w:val="auto"/>
          <w:sz w:val="32"/>
        </w:rPr>
        <w:t>020</w:t>
      </w:r>
      <w:r>
        <w:rPr>
          <w:rFonts w:hint="eastAsia" w:eastAsia="方正仿宋简体"/>
          <w:color w:val="auto"/>
          <w:sz w:val="32"/>
        </w:rPr>
        <w:t>年底建成通车），该项目由原来的双向四车道扩建至八车道，进一步拓宽了阳东通往粤港澳大湾区的大通道，有效提升高速公路的通行能力和服务水平。积极推进深圳至南宁高速公路、沈海高速公路阳东支线、西部沿海高速公路阳江南联络线、西部沿海高速公路新洲出入口等一大批高速公路重大项目前期工作，全面强化与粤港澳大湾区、北部湾城市群和泛珠三角地区的高速连接。</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普通国省道网络</w:t>
      </w:r>
      <w:r>
        <w:rPr>
          <w:rFonts w:eastAsia="方正仿宋简体"/>
          <w:color w:val="auto"/>
          <w:sz w:val="32"/>
        </w:rPr>
        <w:t>日益完善</w:t>
      </w:r>
      <w:r>
        <w:rPr>
          <w:rFonts w:hint="eastAsia" w:eastAsia="方正仿宋简体"/>
          <w:color w:val="auto"/>
          <w:sz w:val="32"/>
        </w:rPr>
        <w:t>。阳东抢抓全国第三次普通公路路网调整机遇，将重要的省道和县乡道申报纳入国道或省道。截至2</w:t>
      </w:r>
      <w:r>
        <w:rPr>
          <w:rFonts w:eastAsia="方正仿宋简体"/>
          <w:color w:val="auto"/>
          <w:sz w:val="32"/>
        </w:rPr>
        <w:t>020</w:t>
      </w:r>
      <w:r>
        <w:rPr>
          <w:rFonts w:hint="eastAsia" w:eastAsia="方正仿宋简体"/>
          <w:color w:val="auto"/>
          <w:sz w:val="32"/>
        </w:rPr>
        <w:t>年，境内普通国道共3条，分别为国道</w:t>
      </w:r>
      <w:r>
        <w:rPr>
          <w:rFonts w:eastAsia="方正仿宋简体"/>
          <w:color w:val="auto"/>
          <w:sz w:val="32"/>
        </w:rPr>
        <w:t>G228</w:t>
      </w:r>
      <w:r>
        <w:rPr>
          <w:rFonts w:hint="eastAsia" w:eastAsia="方正仿宋简体"/>
          <w:color w:val="auto"/>
          <w:sz w:val="32"/>
        </w:rPr>
        <w:t>、</w:t>
      </w:r>
      <w:r>
        <w:rPr>
          <w:rFonts w:eastAsia="方正仿宋简体"/>
          <w:color w:val="auto"/>
          <w:sz w:val="32"/>
        </w:rPr>
        <w:t>G234</w:t>
      </w:r>
      <w:r>
        <w:rPr>
          <w:rFonts w:hint="eastAsia" w:eastAsia="方正仿宋简体"/>
          <w:color w:val="auto"/>
          <w:sz w:val="32"/>
        </w:rPr>
        <w:t>、</w:t>
      </w:r>
      <w:r>
        <w:rPr>
          <w:rFonts w:eastAsia="方正仿宋简体"/>
          <w:color w:val="auto"/>
          <w:sz w:val="32"/>
        </w:rPr>
        <w:t>G325</w:t>
      </w:r>
      <w:r>
        <w:rPr>
          <w:rFonts w:hint="eastAsia" w:eastAsia="方正仿宋简体"/>
          <w:color w:val="auto"/>
          <w:sz w:val="32"/>
        </w:rPr>
        <w:t>，里程共112.966公里，密度为6</w:t>
      </w:r>
      <w:r>
        <w:rPr>
          <w:rFonts w:eastAsia="方正仿宋简体"/>
          <w:color w:val="auto"/>
          <w:sz w:val="32"/>
        </w:rPr>
        <w:t>.63</w:t>
      </w:r>
      <w:r>
        <w:rPr>
          <w:rFonts w:hint="eastAsia" w:eastAsia="方正仿宋简体"/>
          <w:color w:val="auto"/>
          <w:sz w:val="32"/>
        </w:rPr>
        <w:t>公里/百平方公里；普通省道共4条，分别为省道</w:t>
      </w:r>
      <w:r>
        <w:rPr>
          <w:rFonts w:eastAsia="方正仿宋简体"/>
          <w:color w:val="auto"/>
          <w:sz w:val="32"/>
        </w:rPr>
        <w:t>S276</w:t>
      </w:r>
      <w:r>
        <w:rPr>
          <w:rFonts w:hint="eastAsia" w:eastAsia="方正仿宋简体"/>
          <w:color w:val="auto"/>
          <w:sz w:val="32"/>
        </w:rPr>
        <w:t>、</w:t>
      </w:r>
      <w:r>
        <w:rPr>
          <w:rFonts w:eastAsia="方正仿宋简体"/>
          <w:color w:val="auto"/>
          <w:sz w:val="32"/>
        </w:rPr>
        <w:t>S297</w:t>
      </w:r>
      <w:r>
        <w:rPr>
          <w:rFonts w:hint="eastAsia" w:eastAsia="方正仿宋简体"/>
          <w:color w:val="auto"/>
          <w:sz w:val="32"/>
        </w:rPr>
        <w:t>、</w:t>
      </w:r>
      <w:r>
        <w:rPr>
          <w:rFonts w:eastAsia="方正仿宋简体"/>
          <w:color w:val="auto"/>
          <w:sz w:val="32"/>
        </w:rPr>
        <w:t>S386</w:t>
      </w:r>
      <w:r>
        <w:rPr>
          <w:rFonts w:hint="eastAsia" w:eastAsia="方正仿宋简体"/>
          <w:color w:val="auto"/>
          <w:sz w:val="32"/>
        </w:rPr>
        <w:t>、</w:t>
      </w:r>
      <w:r>
        <w:rPr>
          <w:rFonts w:eastAsia="方正仿宋简体"/>
          <w:color w:val="auto"/>
          <w:sz w:val="32"/>
        </w:rPr>
        <w:t>S539</w:t>
      </w:r>
      <w:r>
        <w:rPr>
          <w:rFonts w:hint="eastAsia" w:eastAsia="方正仿宋简体"/>
          <w:color w:val="auto"/>
          <w:sz w:val="32"/>
        </w:rPr>
        <w:t>，里程共13</w:t>
      </w:r>
      <w:r>
        <w:rPr>
          <w:rFonts w:eastAsia="方正仿宋简体"/>
          <w:color w:val="auto"/>
          <w:sz w:val="32"/>
        </w:rPr>
        <w:t>1.494</w:t>
      </w:r>
      <w:r>
        <w:rPr>
          <w:rFonts w:hint="eastAsia" w:eastAsia="方正仿宋简体"/>
          <w:color w:val="auto"/>
          <w:sz w:val="32"/>
        </w:rPr>
        <w:t>公里，密度为7</w:t>
      </w:r>
      <w:r>
        <w:rPr>
          <w:rFonts w:eastAsia="方正仿宋简体"/>
          <w:color w:val="auto"/>
          <w:sz w:val="32"/>
        </w:rPr>
        <w:t>.72</w:t>
      </w:r>
      <w:r>
        <w:rPr>
          <w:rFonts w:hint="eastAsia" w:eastAsia="方正仿宋简体"/>
          <w:color w:val="auto"/>
          <w:sz w:val="32"/>
        </w:rPr>
        <w:t>公里/百平方公里。普通国省道中二级及以上公路占比为4</w:t>
      </w:r>
      <w:r>
        <w:rPr>
          <w:rFonts w:eastAsia="方正仿宋简体"/>
          <w:color w:val="auto"/>
          <w:sz w:val="32"/>
        </w:rPr>
        <w:t>7.1</w:t>
      </w:r>
      <w:r>
        <w:rPr>
          <w:rFonts w:hint="eastAsia" w:eastAsia="方正仿宋简体"/>
          <w:color w:val="auto"/>
          <w:sz w:val="32"/>
        </w:rPr>
        <w:t>%，三级及以上公路占比为8</w:t>
      </w:r>
      <w:r>
        <w:rPr>
          <w:rFonts w:eastAsia="方正仿宋简体"/>
          <w:color w:val="auto"/>
          <w:sz w:val="32"/>
        </w:rPr>
        <w:t>2.0</w:t>
      </w:r>
      <w:r>
        <w:rPr>
          <w:rFonts w:hint="eastAsia" w:eastAsia="方正仿宋简体"/>
          <w:color w:val="auto"/>
          <w:sz w:val="32"/>
        </w:rPr>
        <w:t>%，均排名全市第3。全力推进新升国省道升级改造和“八路四贯通”路网建设项目，致力打造内畅外联、四通八达、干支相连、城乡一体的干线公路网络。顺利完成国道G325线北惯至白沙改线工程、省道S297线合山至大沟段公路中的合山至阳东高铁站公路、国道G325线阳东那龙至江城西平路段路面改造工程等重点项目建设；重点推进国道G325线阳江市江城坪郊至轮水段改建工程、省道S276线东平良洞至大沟红旗段公路、省道S297线阳东高铁站至大沟段改建工程等一批项目加快建设；积极配合市交通运输局加快推进广东滨海旅游公路阳江雅韶至山外东段（阳东雅韶支线段）等省级项目建设工作。</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“四好农村路”有力促进</w:t>
      </w:r>
      <w:r>
        <w:rPr>
          <w:rFonts w:eastAsia="方正仿宋简体"/>
          <w:color w:val="auto"/>
          <w:sz w:val="32"/>
        </w:rPr>
        <w:t>乡村振兴</w:t>
      </w:r>
      <w:r>
        <w:rPr>
          <w:rFonts w:hint="eastAsia" w:eastAsia="方正仿宋简体"/>
          <w:color w:val="auto"/>
          <w:sz w:val="32"/>
        </w:rPr>
        <w:t>。截至2</w:t>
      </w:r>
      <w:r>
        <w:rPr>
          <w:rFonts w:eastAsia="方正仿宋简体"/>
          <w:color w:val="auto"/>
          <w:sz w:val="32"/>
        </w:rPr>
        <w:t>020</w:t>
      </w:r>
      <w:r>
        <w:rPr>
          <w:rFonts w:hint="eastAsia" w:eastAsia="方正仿宋简体"/>
          <w:color w:val="auto"/>
          <w:sz w:val="32"/>
        </w:rPr>
        <w:t>年，全区农村公路总里程达到2</w:t>
      </w:r>
      <w:r>
        <w:rPr>
          <w:rFonts w:eastAsia="方正仿宋简体"/>
          <w:color w:val="auto"/>
          <w:sz w:val="32"/>
        </w:rPr>
        <w:t>082.639</w:t>
      </w:r>
      <w:r>
        <w:rPr>
          <w:rFonts w:hint="eastAsia" w:eastAsia="方正仿宋简体"/>
          <w:color w:val="auto"/>
          <w:sz w:val="32"/>
        </w:rPr>
        <w:t>公里，农村公路密度为1</w:t>
      </w:r>
      <w:r>
        <w:rPr>
          <w:rFonts w:eastAsia="方正仿宋简体"/>
          <w:color w:val="auto"/>
          <w:sz w:val="32"/>
        </w:rPr>
        <w:t>22.29</w:t>
      </w:r>
      <w:r>
        <w:rPr>
          <w:rFonts w:hint="eastAsia" w:eastAsia="方正仿宋简体"/>
          <w:color w:val="auto"/>
          <w:sz w:val="32"/>
        </w:rPr>
        <w:t>公里/百平方公里，平均技术等级为3</w:t>
      </w:r>
      <w:r>
        <w:rPr>
          <w:rFonts w:eastAsia="方正仿宋简体"/>
          <w:color w:val="auto"/>
          <w:sz w:val="32"/>
        </w:rPr>
        <w:t>.9</w:t>
      </w:r>
      <w:r>
        <w:rPr>
          <w:rFonts w:hint="eastAsia" w:eastAsia="方正仿宋简体"/>
          <w:color w:val="auto"/>
          <w:sz w:val="32"/>
        </w:rPr>
        <w:t>。农村公路中二级及以上公路占比为1</w:t>
      </w:r>
      <w:r>
        <w:rPr>
          <w:rFonts w:eastAsia="方正仿宋简体"/>
          <w:color w:val="auto"/>
          <w:sz w:val="32"/>
        </w:rPr>
        <w:t>.6</w:t>
      </w:r>
      <w:r>
        <w:rPr>
          <w:rFonts w:hint="eastAsia" w:eastAsia="方正仿宋简体"/>
          <w:color w:val="auto"/>
          <w:sz w:val="32"/>
        </w:rPr>
        <w:t>%，排名全市第3；三级及以上公路占比为7</w:t>
      </w:r>
      <w:r>
        <w:rPr>
          <w:rFonts w:eastAsia="方正仿宋简体"/>
          <w:color w:val="auto"/>
          <w:sz w:val="32"/>
        </w:rPr>
        <w:t>.3</w:t>
      </w:r>
      <w:r>
        <w:rPr>
          <w:rFonts w:hint="eastAsia" w:eastAsia="方正仿宋简体"/>
          <w:color w:val="auto"/>
          <w:sz w:val="32"/>
        </w:rPr>
        <w:t>%，排名全市第2。阳东按照“建好、管好、护好、运营好”的总要求，加快推进“四好农村路”建设，累计完成投资8亿元，投资总额和增幅均创历史新高；实现13条省定贫困村200人以上自然村通一条及以上硬化路；全区1</w:t>
      </w:r>
      <w:r>
        <w:rPr>
          <w:rFonts w:eastAsia="方正仿宋简体"/>
          <w:color w:val="auto"/>
          <w:sz w:val="32"/>
        </w:rPr>
        <w:t>57</w:t>
      </w:r>
      <w:r>
        <w:rPr>
          <w:rFonts w:hint="eastAsia" w:eastAsia="方正仿宋简体"/>
          <w:color w:val="auto"/>
          <w:sz w:val="32"/>
        </w:rPr>
        <w:t>个行政村1</w:t>
      </w:r>
      <w:r>
        <w:rPr>
          <w:rFonts w:eastAsia="方正仿宋简体"/>
          <w:color w:val="auto"/>
          <w:sz w:val="32"/>
        </w:rPr>
        <w:t>00%</w:t>
      </w:r>
      <w:r>
        <w:rPr>
          <w:rFonts w:hint="eastAsia" w:eastAsia="方正仿宋简体"/>
          <w:color w:val="auto"/>
          <w:sz w:val="32"/>
        </w:rPr>
        <w:t>通达客车。印发《阳江市阳东区创建省级“四好农村路”示范县建设行动计划（2018－2020年）》，着力建设东平、新洲、合山试点镇的产业路、资源路、旅游路和片区管护中心。认真贯彻落实《阳江市阳东区“四好农村路”三年行动计划（2018-2020年）》，建成了阳东区新龙岗公路那龙至田畔段改建工程、周亨至田畔公路、鸡山至新洲公路等县道改建工程，全力推动雅白公路阳东段改扩建工程、新江台公路南延线工程（雅白线至滨海旅游公路段）等项目开展前期工作，为全区脱贫攻坚、乡村振兴，决胜全面建成小康社会提供有力支撑。</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国家级中心渔港渐成规模。阳东区内港口主要依托东平港，东平港位于东平镇飞鹅岭南部，是国家级中心渔港，也是广东省重点渔港之一。阳东区沿海岸线从坭澳仔至东平镇约</w:t>
      </w:r>
      <w:r>
        <w:rPr>
          <w:rFonts w:eastAsia="方正仿宋简体"/>
          <w:color w:val="auto"/>
          <w:sz w:val="32"/>
        </w:rPr>
        <w:t>3.5</w:t>
      </w:r>
      <w:r>
        <w:rPr>
          <w:rFonts w:hint="eastAsia" w:eastAsia="方正仿宋简体"/>
          <w:color w:val="auto"/>
          <w:sz w:val="32"/>
        </w:rPr>
        <w:t>公里的大港环岸线为东平渔港所在地，港池面积</w:t>
      </w:r>
      <w:r>
        <w:rPr>
          <w:rFonts w:eastAsia="方正仿宋简体"/>
          <w:color w:val="auto"/>
          <w:sz w:val="32"/>
        </w:rPr>
        <w:t>2.5</w:t>
      </w:r>
      <w:r>
        <w:rPr>
          <w:rFonts w:hint="eastAsia" w:eastAsia="方正仿宋简体"/>
          <w:color w:val="auto"/>
          <w:sz w:val="32"/>
        </w:rPr>
        <w:t>平方公里，水深</w:t>
      </w:r>
      <w:r>
        <w:rPr>
          <w:rFonts w:eastAsia="方正仿宋简体"/>
          <w:color w:val="auto"/>
          <w:sz w:val="32"/>
        </w:rPr>
        <w:t>5.5</w:t>
      </w:r>
      <w:r>
        <w:rPr>
          <w:rFonts w:hint="eastAsia" w:eastAsia="方正仿宋简体"/>
          <w:color w:val="auto"/>
          <w:sz w:val="32"/>
        </w:rPr>
        <w:t>米以上，可泊</w:t>
      </w:r>
      <w:r>
        <w:rPr>
          <w:rFonts w:eastAsia="方正仿宋简体"/>
          <w:color w:val="auto"/>
          <w:sz w:val="32"/>
        </w:rPr>
        <w:t>1</w:t>
      </w:r>
      <w:r>
        <w:rPr>
          <w:rFonts w:hint="eastAsia" w:eastAsia="方正仿宋简体"/>
          <w:color w:val="auto"/>
          <w:sz w:val="32"/>
        </w:rPr>
        <w:t>万吨级货轮，同时还可以容纳</w:t>
      </w:r>
      <w:r>
        <w:rPr>
          <w:rFonts w:eastAsia="方正仿宋简体"/>
          <w:color w:val="auto"/>
          <w:sz w:val="32"/>
        </w:rPr>
        <w:t>3000</w:t>
      </w:r>
      <w:r>
        <w:rPr>
          <w:rFonts w:hint="eastAsia" w:eastAsia="方正仿宋简体"/>
          <w:color w:val="auto"/>
          <w:sz w:val="32"/>
        </w:rPr>
        <w:t>艘船只，是省内集规划及设施建设两者俱佳的先进典型，也是融停泊、避风、补给功能于一体的渔业后勤服务基地。</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合山机场改扩建稳步推进。阳东境内建有阳江合山机场，位于阳东区合山镇工业大道东端，距离阳江城区约</w:t>
      </w:r>
      <w:r>
        <w:rPr>
          <w:rFonts w:eastAsia="方正仿宋简体"/>
          <w:color w:val="auto"/>
          <w:sz w:val="32"/>
        </w:rPr>
        <w:t>19</w:t>
      </w:r>
      <w:r>
        <w:rPr>
          <w:rFonts w:hint="eastAsia" w:eastAsia="方正仿宋简体"/>
          <w:color w:val="auto"/>
          <w:sz w:val="32"/>
        </w:rPr>
        <w:t>公里，属于</w:t>
      </w:r>
      <w:r>
        <w:rPr>
          <w:rFonts w:eastAsia="方正仿宋简体"/>
          <w:color w:val="auto"/>
          <w:sz w:val="32"/>
        </w:rPr>
        <w:t>A1</w:t>
      </w:r>
      <w:r>
        <w:rPr>
          <w:rFonts w:hint="eastAsia" w:eastAsia="方正仿宋简体"/>
          <w:color w:val="auto"/>
          <w:sz w:val="32"/>
        </w:rPr>
        <w:t>类跑道型通用机场，是广东省第一个地级城市所有的通用航空机场。除了主营飞行培训类业务外，还提供高空跳伞、科研飞行、航空科普等业务。</w:t>
      </w:r>
      <w:r>
        <w:rPr>
          <w:rFonts w:eastAsia="方正仿宋简体"/>
          <w:color w:val="auto"/>
          <w:sz w:val="32"/>
        </w:rPr>
        <w:t>2015</w:t>
      </w:r>
      <w:r>
        <w:rPr>
          <w:rFonts w:hint="eastAsia" w:eastAsia="方正仿宋简体"/>
          <w:color w:val="auto"/>
          <w:sz w:val="32"/>
        </w:rPr>
        <w:t>年，阳江合山机场启动改扩建工程，目前一期工程已顺利完成，二期工程正加速进行中。2020年，阳江合山机场开通至珠海莲洲通用机场的短途运输航线，成为粤西地区联结粤港澳大湾区首条通用航空短途运输航线，实现阳东半小时通达珠海。</w:t>
      </w:r>
    </w:p>
    <w:p>
      <w:pPr>
        <w:pStyle w:val="4"/>
        <w:keepNext w:val="0"/>
        <w:keepLines w:val="0"/>
        <w:widowControl w:val="0"/>
        <w:adjustRightInd w:val="0"/>
        <w:snapToGrid w:val="0"/>
        <w:spacing w:before="0" w:after="0" w:line="560" w:lineRule="exact"/>
        <w:ind w:firstLine="640"/>
        <w:jc w:val="both"/>
        <w:rPr>
          <w:rFonts w:eastAsia="方正楷体简体"/>
          <w:b w:val="0"/>
          <w:bCs w:val="0"/>
        </w:rPr>
      </w:pPr>
      <w:r>
        <w:rPr>
          <w:rFonts w:hint="eastAsia" w:eastAsia="方正楷体简体"/>
          <w:b w:val="0"/>
          <w:bCs w:val="0"/>
        </w:rPr>
        <w:t>（二）交通基础设施运行现状</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客货运输需求稳中有变。阳东区客货运输结构持续优化，随着全区首条铁路的建成通车，全区形成以公路为主，铁路、航空等运输方式为辅的运输发展模式。2019年，全区客运量、客运周转量分别为117.4万人、8145.9万人公里，全区货运量、货运周转量分别为2399万吨、220550万吨公里，2015至2019年，阳东区客、货运输量及周转量总体呈现平稳增长态势，客货运服务水平稳步提升；2020年新冠疫情影响下，全区客运量、客运周转量分别为38.8万人、3062.9万人公里，全区货运量、货运周转量分别为649.5万吨、31281.6万吨公里，客、货运输量及周转量从平稳上升趋势转为断崖下降。持续深化运输服务供给侧结构性改革，积极落实《阳江市推进运输结构调整行动方案》，引导中长距离的大宗货源转移至铁水路运输，协调督促龙头客货运企业提升改善服务，深挖潜力，吸引更多的客货源。</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运输服务</w:t>
      </w:r>
      <w:r>
        <w:rPr>
          <w:rFonts w:eastAsia="方正仿宋简体"/>
          <w:color w:val="auto"/>
          <w:sz w:val="32"/>
        </w:rPr>
        <w:t>水平进一步提升</w:t>
      </w:r>
      <w:r>
        <w:rPr>
          <w:rFonts w:hint="eastAsia" w:eastAsia="方正仿宋简体"/>
          <w:color w:val="auto"/>
          <w:sz w:val="32"/>
        </w:rPr>
        <w:t>。积极推进“民生交通”发展，完成阳茂铁路阳东站进站道路及站场配套设施工程，鼓励运输服务与旅游业融合发展，城乡客运一体化取得新成效。全面实施《阳江市城市公共交通专项发展规划（2016-2030年）》，不断新增、优化调整公交线路，至“十三五”末，全区现运行公交线路共10条，服务范围延伸至乡镇、部分建制村，公交线网覆盖率明显提高，公共交通服务均等化水平进一步提升。积极加强新能源汽车在公共交通领域的推广应用，新建一批新能源电动车充电设施，截至“十三五”末，全区公共交通行业新能源汽车车辆共65辆，新能源汽车占比达到100%。</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公路</w:t>
      </w:r>
      <w:r>
        <w:rPr>
          <w:rFonts w:eastAsia="方正仿宋简体"/>
          <w:color w:val="auto"/>
          <w:sz w:val="32"/>
        </w:rPr>
        <w:t>管养体制机制更加健全</w:t>
      </w:r>
      <w:r>
        <w:rPr>
          <w:rFonts w:hint="eastAsia" w:eastAsia="方正仿宋简体"/>
          <w:color w:val="auto"/>
          <w:sz w:val="32"/>
        </w:rPr>
        <w:t>。阳东区建立了“常态化巡查、定期清扫维护、专案修复”的周期性公路养护作业制度，结合季度特点开展针对性养护，强化公路日常巡查制度，完善公路养护管理制度。加强危桥管理，对所管养公路桥梁每月进行定期、不定期的各类技术检查，对检测出的问题及时进行相关处理，提高公路、桥梁服务水平，保障群众出行安全。</w:t>
      </w:r>
    </w:p>
    <w:p>
      <w:pPr>
        <w:pStyle w:val="6"/>
        <w:adjustRightInd w:val="0"/>
        <w:snapToGrid w:val="0"/>
        <w:spacing w:line="560" w:lineRule="exact"/>
        <w:ind w:firstLine="640"/>
        <w:rPr>
          <w:rFonts w:eastAsia="方正仿宋简体"/>
          <w:color w:val="auto"/>
          <w:sz w:val="32"/>
        </w:rPr>
      </w:pPr>
      <w:r>
        <w:rPr>
          <w:rFonts w:hint="eastAsia" w:eastAsia="方正仿宋简体"/>
          <w:color w:val="auto"/>
          <w:sz w:val="32"/>
        </w:rPr>
        <w:t>服务效能优化提升。阳东区坚持“以</w:t>
      </w:r>
      <w:bookmarkStart w:id="130" w:name="_GoBack"/>
      <w:r>
        <w:rPr>
          <w:rFonts w:hint="eastAsia" w:eastAsia="方正仿宋简体"/>
          <w:color w:val="auto"/>
          <w:sz w:val="32"/>
        </w:rPr>
        <w:t>服务人民群众为</w:t>
      </w:r>
      <w:bookmarkEnd w:id="130"/>
      <w:r>
        <w:rPr>
          <w:rFonts w:hint="eastAsia" w:eastAsia="方正仿宋简体"/>
          <w:color w:val="auto"/>
          <w:sz w:val="32"/>
        </w:rPr>
        <w:t>中心”的理念，落实深化“放管服”改革，深化交通运输领域简政放权，按照全省政务服务事项实施清单“十统一”标准化梳理政务服务事项，做好“互联网+政务服务”工作，全力推进事项“网办”，谋划研究出符合实际的“网上办”全流程，政务服务事项已实现100%“网上办”，全面提升政务服务水平。</w:t>
      </w:r>
    </w:p>
    <w:p>
      <w:pPr>
        <w:pStyle w:val="3"/>
        <w:widowControl w:val="0"/>
        <w:adjustRightInd w:val="0"/>
        <w:snapToGrid w:val="0"/>
        <w:spacing w:before="381" w:beforeLines="100" w:after="381" w:afterLines="100" w:line="240" w:lineRule="auto"/>
        <w:jc w:val="center"/>
        <w:textAlignment w:val="baseline"/>
        <w:rPr>
          <w:rFonts w:ascii="黑体" w:hAnsi="黑体" w:eastAsia="楷体"/>
          <w:b w:val="0"/>
          <w:bCs w:val="0"/>
          <w:kern w:val="0"/>
          <w:szCs w:val="20"/>
        </w:rPr>
        <w:sectPr>
          <w:headerReference r:id="rId20" w:type="first"/>
          <w:footerReference r:id="rId22" w:type="first"/>
          <w:headerReference r:id="rId18" w:type="default"/>
          <w:headerReference r:id="rId19" w:type="even"/>
          <w:footerReference r:id="rId21" w:type="even"/>
          <w:pgSz w:w="11906" w:h="16838"/>
          <w:pgMar w:top="1814" w:right="1531" w:bottom="1814" w:left="1531" w:header="567" w:footer="1531" w:gutter="0"/>
          <w:cols w:space="425" w:num="1"/>
          <w:docGrid w:type="lines" w:linePitch="381" w:charSpace="0"/>
        </w:sectPr>
      </w:pP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14" w:name="_Toc117693179"/>
      <w:r>
        <w:rPr>
          <w:rFonts w:hint="eastAsia" w:ascii="黑体" w:hAnsi="黑体"/>
          <w:b w:val="0"/>
          <w:bCs w:val="0"/>
          <w:kern w:val="0"/>
          <w:szCs w:val="20"/>
        </w:rPr>
        <w:t>第二节 主要问题</w:t>
      </w:r>
      <w:bookmarkEnd w:id="14"/>
    </w:p>
    <w:p>
      <w:pPr>
        <w:pStyle w:val="4"/>
        <w:keepNext w:val="0"/>
        <w:keepLines w:val="0"/>
        <w:widowControl w:val="0"/>
        <w:adjustRightInd w:val="0"/>
        <w:snapToGrid w:val="0"/>
        <w:spacing w:before="0" w:after="0" w:line="530" w:lineRule="exact"/>
        <w:ind w:firstLine="600"/>
        <w:jc w:val="both"/>
        <w:rPr>
          <w:rFonts w:eastAsia="方正楷体简体"/>
          <w:b w:val="0"/>
          <w:spacing w:val="-10"/>
          <w:szCs w:val="30"/>
        </w:rPr>
      </w:pPr>
      <w:r>
        <w:rPr>
          <w:rFonts w:hint="eastAsia" w:eastAsia="方正楷体简体"/>
          <w:b w:val="0"/>
          <w:bCs w:val="0"/>
          <w:spacing w:val="-10"/>
        </w:rPr>
        <w:t>（一）支撑区域发展新格局的综合交通运输网络有待补全</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城区过境交通与城镇交通功能混杂，国道G325主要承担对外交通联系功能的同时，也承担了阳东城区与江城同城内部交通功能，进出城交通拥堵严重，降低了路网整体运行效率。阳东与江城同城干线通道单一，一体化快速交通体系尚未有效建立；区域沿海快速通道尚未形成，滨海旅游公路阳东段及阳东支线、国道G228线阳东段等项目前期推进慢，难以支撑新时期阳江东部地区关于优先发展江城和阳东城区一体化发展区域，以及构建“双芯并进、两翼协同，三轴两片多节点”的区域空间格局。南（沿海）北（山区）两翼干线路网布局不合理、通达深度不足、覆盖水平较低。仍有部分乡镇（如大八镇、新洲镇、大沟镇）、旅游景区（如表竹革命老区、北桂园、新洲三仙宫等）未能实现通二级及以上公路，北部区域部分欠发达山区镇如大八镇、塘坪镇等存在较多的低等级路。</w:t>
      </w:r>
    </w:p>
    <w:p>
      <w:pPr>
        <w:pStyle w:val="4"/>
        <w:keepNext w:val="0"/>
        <w:keepLines w:val="0"/>
        <w:widowControl w:val="0"/>
        <w:adjustRightInd w:val="0"/>
        <w:snapToGrid w:val="0"/>
        <w:spacing w:before="0" w:after="0" w:line="530" w:lineRule="exact"/>
        <w:ind w:firstLine="640"/>
        <w:jc w:val="both"/>
        <w:rPr>
          <w:rFonts w:eastAsia="方正楷体简体"/>
          <w:b w:val="0"/>
          <w:bCs w:val="0"/>
        </w:rPr>
      </w:pPr>
      <w:r>
        <w:rPr>
          <w:rFonts w:hint="eastAsia" w:eastAsia="方正楷体简体"/>
          <w:b w:val="0"/>
          <w:bCs w:val="0"/>
        </w:rPr>
        <w:t>（二）农村公路“建管养”短板亟需补齐</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路网结构亟待优化，阳东农村公路四级公路占比为9</w:t>
      </w:r>
      <w:r>
        <w:rPr>
          <w:rFonts w:eastAsia="方正仿宋简体"/>
          <w:color w:val="auto"/>
          <w:sz w:val="32"/>
        </w:rPr>
        <w:t>2.67%</w:t>
      </w:r>
      <w:r>
        <w:rPr>
          <w:rFonts w:hint="eastAsia" w:eastAsia="方正仿宋简体"/>
          <w:color w:val="auto"/>
          <w:sz w:val="32"/>
        </w:rPr>
        <w:t>（全省农村公路四级公路占比8</w:t>
      </w:r>
      <w:r>
        <w:rPr>
          <w:rFonts w:eastAsia="方正仿宋简体"/>
          <w:color w:val="auto"/>
          <w:sz w:val="32"/>
        </w:rPr>
        <w:t>3.6%</w:t>
      </w:r>
      <w:r>
        <w:rPr>
          <w:rFonts w:hint="eastAsia" w:eastAsia="方正仿宋简体"/>
          <w:color w:val="auto"/>
          <w:sz w:val="32"/>
        </w:rPr>
        <w:t>），低等级路网占比较大，农村公路平均技术等级为3</w:t>
      </w:r>
      <w:r>
        <w:rPr>
          <w:rFonts w:eastAsia="方正仿宋简体"/>
          <w:color w:val="auto"/>
          <w:sz w:val="32"/>
        </w:rPr>
        <w:t>.9</w:t>
      </w:r>
      <w:r>
        <w:rPr>
          <w:rFonts w:hint="eastAsia" w:eastAsia="方正仿宋简体"/>
          <w:color w:val="auto"/>
          <w:sz w:val="32"/>
        </w:rPr>
        <w:t>（全省农村公路平均技术等级3</w:t>
      </w:r>
      <w:r>
        <w:rPr>
          <w:rFonts w:eastAsia="方正仿宋简体"/>
          <w:color w:val="auto"/>
          <w:sz w:val="32"/>
        </w:rPr>
        <w:t>.7</w:t>
      </w:r>
      <w:r>
        <w:rPr>
          <w:rFonts w:hint="eastAsia" w:eastAsia="方正仿宋简体"/>
          <w:color w:val="auto"/>
          <w:sz w:val="32"/>
        </w:rPr>
        <w:t>），均落后于全省平均水平。路面状况及通行能力亟待提升，路面宽度在5</w:t>
      </w:r>
      <w:r>
        <w:rPr>
          <w:rFonts w:eastAsia="方正仿宋简体"/>
          <w:color w:val="auto"/>
          <w:sz w:val="32"/>
        </w:rPr>
        <w:t>.5m</w:t>
      </w:r>
      <w:r>
        <w:rPr>
          <w:rFonts w:hint="eastAsia" w:eastAsia="方正仿宋简体"/>
          <w:color w:val="auto"/>
          <w:sz w:val="32"/>
        </w:rPr>
        <w:t>及以下道路占比约9</w:t>
      </w:r>
      <w:r>
        <w:rPr>
          <w:rFonts w:eastAsia="方正仿宋简体"/>
          <w:color w:val="auto"/>
          <w:sz w:val="32"/>
        </w:rPr>
        <w:t>2%,</w:t>
      </w:r>
      <w:r>
        <w:rPr>
          <w:rFonts w:hint="eastAsia" w:eastAsia="方正仿宋简体"/>
          <w:color w:val="auto"/>
          <w:sz w:val="32"/>
        </w:rPr>
        <w:t>整体路面宽度较窄;县道交通运行服务水平为五级</w:t>
      </w:r>
      <w:r>
        <w:rPr>
          <w:rFonts w:eastAsia="方正仿宋简体"/>
          <w:color w:val="auto"/>
          <w:sz w:val="32"/>
        </w:rPr>
        <w:t>,</w:t>
      </w:r>
      <w:r>
        <w:rPr>
          <w:rFonts w:hint="eastAsia" w:eastAsia="方正仿宋简体"/>
          <w:color w:val="auto"/>
          <w:sz w:val="32"/>
        </w:rPr>
        <w:t>服务水平较低。农村公路管养体制机制亟待健全，由于乡镇财政困难和村级经济薄弱，部分农村公路配套资金难以到位；农村公路管理机构体制机制未理顺，人员老化、机械化养护程度低，养护市场化改革难度极大，而且具备养护资质且愿意从事养护的机构不多。亟需补齐阳东区农村公路“建管养”短板，助力乡村振兴。</w:t>
      </w:r>
    </w:p>
    <w:p>
      <w:pPr>
        <w:pStyle w:val="4"/>
        <w:keepNext w:val="0"/>
        <w:keepLines w:val="0"/>
        <w:widowControl w:val="0"/>
        <w:adjustRightInd w:val="0"/>
        <w:snapToGrid w:val="0"/>
        <w:spacing w:before="0" w:after="0" w:line="530" w:lineRule="exact"/>
        <w:ind w:firstLine="600"/>
        <w:jc w:val="both"/>
        <w:rPr>
          <w:rFonts w:eastAsia="方正楷体简体"/>
          <w:b w:val="0"/>
          <w:bCs w:val="0"/>
          <w:spacing w:val="-10"/>
        </w:rPr>
      </w:pPr>
      <w:r>
        <w:rPr>
          <w:rFonts w:hint="eastAsia" w:eastAsia="方正楷体简体"/>
          <w:b w:val="0"/>
          <w:bCs w:val="0"/>
          <w:spacing w:val="-10"/>
        </w:rPr>
        <w:t>（三）阳东高效融入“双区”的运输通道有待进一步完善</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阳东区综合交通基础设施正处于加速成网阶段，目前对外主要是以公路为主的“二横一纵”运输通道，与粤港澳大湾区、深圳先行示范区“双区”通行时间较长（超2小时），尚未形成多方式、多层次的高效对接通道。轨道交通方面，阳东境内仅建成1条深茂铁路，运营里程仅34公里，铁路网络尚未成形。高速公路方面，总里程仅107公里，覆盖率较低且主要集中在东南区域，缺乏直接贯穿全境的南北纵向大通道，仍有大八镇和塘坪镇尚未实现通高速。阳东部分乡镇、重点产业（工业）园、旅游景点等与高速公路互通、综合客货运枢纽之间的衔接不顺畅，难以满足新时期阳东人民群众不断增长的出行需求。</w:t>
      </w:r>
    </w:p>
    <w:p>
      <w:pPr>
        <w:pStyle w:val="4"/>
        <w:keepNext w:val="0"/>
        <w:keepLines w:val="0"/>
        <w:widowControl w:val="0"/>
        <w:adjustRightInd w:val="0"/>
        <w:snapToGrid w:val="0"/>
        <w:spacing w:before="0" w:after="0" w:line="530" w:lineRule="exact"/>
        <w:ind w:firstLine="640"/>
        <w:jc w:val="both"/>
        <w:rPr>
          <w:rFonts w:eastAsia="方正楷体简体"/>
          <w:b w:val="0"/>
          <w:bCs w:val="0"/>
        </w:rPr>
      </w:pPr>
      <w:r>
        <w:rPr>
          <w:rFonts w:hint="eastAsia" w:eastAsia="方正楷体简体"/>
          <w:b w:val="0"/>
          <w:bCs w:val="0"/>
        </w:rPr>
        <w:t>（四）综合交通发展质量和一体化水平有待提高</w:t>
      </w:r>
    </w:p>
    <w:p>
      <w:pPr>
        <w:pStyle w:val="6"/>
        <w:adjustRightInd w:val="0"/>
        <w:snapToGrid w:val="0"/>
        <w:spacing w:line="530" w:lineRule="exact"/>
        <w:ind w:firstLine="640"/>
        <w:rPr>
          <w:rFonts w:eastAsia="方正仿宋简体"/>
          <w:color w:val="auto"/>
          <w:sz w:val="32"/>
        </w:rPr>
        <w:sectPr>
          <w:pgSz w:w="11906" w:h="16838"/>
          <w:pgMar w:top="1440" w:right="1800" w:bottom="1440" w:left="1800" w:header="567" w:footer="1531" w:gutter="0"/>
          <w:cols w:space="425" w:num="1"/>
          <w:docGrid w:type="lines" w:linePitch="381" w:charSpace="0"/>
        </w:sectPr>
      </w:pPr>
      <w:r>
        <w:rPr>
          <w:rFonts w:hint="eastAsia" w:eastAsia="方正仿宋简体"/>
          <w:color w:val="auto"/>
          <w:sz w:val="32"/>
        </w:rPr>
        <w:t>综合客运枢纽运能不足，且尚未建成一个“零换乘和无缝衔接”的典型综合交通枢纽，各交通方式间缺乏便捷的换乘和转运。货运方面缺乏区域性货运物流中心，货运站及物流园数量少且等级低，一体化衔接能力不足，难以适应现代化物流发展需求。尚未构建支撑阳东全域旅游发展的“快进慢游”旅游交通网络。综合交通安全、绿色、智慧体系亟待确立和完善。</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15" w:name="_Toc89245747"/>
      <w:bookmarkStart w:id="16" w:name="_Toc117693180"/>
      <w:bookmarkStart w:id="17" w:name="_Toc82590123"/>
      <w:r>
        <w:rPr>
          <w:rFonts w:hint="eastAsia" w:ascii="黑体" w:hAnsi="黑体"/>
          <w:b w:val="0"/>
          <w:bCs w:val="0"/>
          <w:kern w:val="0"/>
          <w:szCs w:val="20"/>
        </w:rPr>
        <w:t>第三节 形势要求</w:t>
      </w:r>
      <w:bookmarkEnd w:id="15"/>
      <w:bookmarkEnd w:id="16"/>
      <w:bookmarkEnd w:id="17"/>
    </w:p>
    <w:p>
      <w:pPr>
        <w:pStyle w:val="6"/>
        <w:adjustRightInd w:val="0"/>
        <w:snapToGrid w:val="0"/>
        <w:spacing w:line="570" w:lineRule="exact"/>
        <w:ind w:firstLine="640"/>
        <w:rPr>
          <w:rFonts w:eastAsia="方正仿宋简体"/>
          <w:color w:val="auto"/>
          <w:sz w:val="32"/>
        </w:rPr>
      </w:pPr>
      <w:bookmarkStart w:id="18" w:name="_Toc89245748"/>
      <w:bookmarkStart w:id="19" w:name="_Toc82590124"/>
      <w:r>
        <w:rPr>
          <w:rFonts w:hint="eastAsia" w:eastAsia="方正仿宋简体"/>
          <w:color w:val="auto"/>
          <w:sz w:val="32"/>
        </w:rPr>
        <w:t>阳江市阳东区既处于“双区”建设、“双城”联动的黄金期，阳江东部地区高质量崛起的机遇期，同时也面临国内大循环为主体、国内国际双循环相互促进新发展格局加快形成的新契机。科学编制阳东区综合交通运输体系中长期发展规划，对阳东高质量构建“一轴一带、一核三区”沿海联动发展新格局，促进阳东与大湾区高水平互动发展，推动阳东高质量发展实现新跨越具有重要的支撑作用，同时对阳江市阳东区综合交通运输发展提出了新要求、新任务。</w:t>
      </w:r>
    </w:p>
    <w:p>
      <w:pPr>
        <w:pStyle w:val="4"/>
        <w:keepNext w:val="0"/>
        <w:keepLines w:val="0"/>
        <w:widowControl w:val="0"/>
        <w:adjustRightInd w:val="0"/>
        <w:snapToGrid w:val="0"/>
        <w:spacing w:before="0" w:after="0" w:line="570" w:lineRule="exact"/>
        <w:ind w:firstLine="600"/>
        <w:jc w:val="both"/>
        <w:rPr>
          <w:rFonts w:eastAsia="方正楷体简体"/>
          <w:b w:val="0"/>
          <w:bCs w:val="0"/>
          <w:spacing w:val="-10"/>
        </w:rPr>
      </w:pPr>
      <w:r>
        <w:rPr>
          <w:rFonts w:hint="eastAsia" w:eastAsia="方正楷体简体"/>
          <w:b w:val="0"/>
          <w:bCs w:val="0"/>
          <w:spacing w:val="-10"/>
        </w:rPr>
        <w:t>（一）支撑构建新发展格局，要求完善综合</w:t>
      </w:r>
      <w:r>
        <w:rPr>
          <w:rFonts w:eastAsia="方正楷体简体"/>
          <w:b w:val="0"/>
          <w:bCs w:val="0"/>
          <w:spacing w:val="-10"/>
        </w:rPr>
        <w:t>立体交通网络</w:t>
      </w:r>
      <w:r>
        <w:rPr>
          <w:rFonts w:hint="eastAsia" w:eastAsia="方正楷体简体"/>
          <w:b w:val="0"/>
          <w:bCs w:val="0"/>
          <w:spacing w:val="-10"/>
        </w:rPr>
        <w:t>。</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构建“以国内大循环为主体、国内国际双循环相互促进”的新发展格局，是中央充分结合当前国内国际形势发展提出的重要战略部署。阳东要贯彻落实交通强国建设纲要、综合立体网规划纲要等上位规划要求，持续拓展交通运输网络的覆盖深度和广度，加快构建布局完善、规模合理、结构优化、资源集约、衔接高效、互联互通的现代化综合立体交通网，扩大循环总量，增强循环动能，助力阳江打通“大通道”、畅通“微循环”，推进更高水平参与国内国际双循环。</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（二）对接“双区”和“两个合作区”，要求提升运输通道效率</w:t>
      </w:r>
      <w:r>
        <w:rPr>
          <w:rFonts w:eastAsia="方正楷体简体"/>
          <w:b w:val="0"/>
          <w:bCs w:val="0"/>
        </w:rPr>
        <w:t>和韧性</w:t>
      </w:r>
      <w:r>
        <w:rPr>
          <w:rFonts w:hint="eastAsia" w:eastAsia="方正楷体简体"/>
          <w:b w:val="0"/>
          <w:bCs w:val="0"/>
        </w:rPr>
        <w:t>。</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随着粤港澳大湾区、深圳中国特色社会主义先行示范区“双区”建设，横琴、前海两个合作区建设，以及广东省推动“一核一带一区”战略布局的提出，粤港澳大湾区将迈入新的发展态势，同时深圳、广州将进一步强化核心引擎作用。阳东作为粤港澳大湾区向西延伸的桥头堡，应借助“双区”和横琴、前海两个合作区建设以及广东沿海经济带大战带来的多重利好，发挥珠三角与北部湾、大西南联结点优势，以交通为先导，主动提升运输通道的效率和韧性，加快对接大湾区核心区、珠江-西江经济带、海南自由贸易试验区，加强构建与湾区城市高效互联互通的综合交通网络，推动形成产业、交通、服务、创新的承接力与辐射力，构筑以粤港澳大湾区为龙头，以阳东为支点，以北部湾城市群为支撑的沿海经济走廊。</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（三）支撑阳东高质量发展实现新跨越</w:t>
      </w:r>
      <w:r>
        <w:rPr>
          <w:rFonts w:eastAsia="方正楷体简体"/>
          <w:b w:val="0"/>
          <w:bCs w:val="0"/>
        </w:rPr>
        <w:t>，要求交通</w:t>
      </w:r>
      <w:r>
        <w:rPr>
          <w:rFonts w:hint="eastAsia" w:eastAsia="方正楷体简体"/>
          <w:b w:val="0"/>
          <w:bCs w:val="0"/>
        </w:rPr>
        <w:t>当好</w:t>
      </w:r>
      <w:r>
        <w:rPr>
          <w:rFonts w:eastAsia="方正楷体简体"/>
          <w:b w:val="0"/>
          <w:bCs w:val="0"/>
        </w:rPr>
        <w:t>开路先锋</w:t>
      </w:r>
      <w:r>
        <w:rPr>
          <w:rFonts w:hint="eastAsia" w:eastAsia="方正楷体简体"/>
          <w:b w:val="0"/>
          <w:bCs w:val="0"/>
        </w:rPr>
        <w:t>。</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交通</w:t>
      </w:r>
      <w:r>
        <w:rPr>
          <w:rFonts w:eastAsia="方正仿宋简体"/>
          <w:color w:val="auto"/>
          <w:sz w:val="32"/>
        </w:rPr>
        <w:t>是现代化的开路先锋，</w:t>
      </w:r>
      <w:r>
        <w:rPr>
          <w:rFonts w:hint="eastAsia" w:eastAsia="方正仿宋简体"/>
          <w:color w:val="auto"/>
          <w:sz w:val="32"/>
        </w:rPr>
        <w:t>为实现奋力推动阳东高质量发展实现新跨越，助力阳江市综合实力实现新跃升作出新的更大贡献，</w:t>
      </w:r>
      <w:r>
        <w:rPr>
          <w:rFonts w:eastAsia="方正仿宋简体"/>
          <w:color w:val="auto"/>
          <w:sz w:val="32"/>
        </w:rPr>
        <w:t>要</w:t>
      </w:r>
      <w:r>
        <w:rPr>
          <w:rFonts w:hint="eastAsia" w:eastAsia="方正仿宋简体"/>
          <w:color w:val="auto"/>
          <w:sz w:val="32"/>
        </w:rPr>
        <w:t>充分发挥交通运输基础、先导和支撑引领作用，加快构建外联内通的综合交通体系，全面</w:t>
      </w:r>
      <w:r>
        <w:rPr>
          <w:rFonts w:eastAsia="方正仿宋简体"/>
          <w:color w:val="auto"/>
          <w:sz w:val="32"/>
        </w:rPr>
        <w:t>支撑</w:t>
      </w:r>
      <w:r>
        <w:rPr>
          <w:rFonts w:hint="eastAsia" w:eastAsia="方正仿宋简体"/>
          <w:color w:val="auto"/>
          <w:sz w:val="32"/>
        </w:rPr>
        <w:t>阳江“融湾强带”重大发展平台的</w:t>
      </w:r>
      <w:r>
        <w:rPr>
          <w:rFonts w:eastAsia="方正仿宋简体"/>
          <w:color w:val="auto"/>
          <w:sz w:val="32"/>
        </w:rPr>
        <w:t>建设</w:t>
      </w:r>
      <w:r>
        <w:rPr>
          <w:rFonts w:hint="eastAsia" w:eastAsia="方正仿宋简体"/>
          <w:color w:val="auto"/>
          <w:sz w:val="32"/>
        </w:rPr>
        <w:t>。</w:t>
      </w:r>
    </w:p>
    <w:p>
      <w:pPr>
        <w:spacing w:line="240" w:lineRule="auto"/>
        <w:ind w:firstLine="0" w:firstLineChars="0"/>
        <w:rPr>
          <w:rFonts w:eastAsia="方正仿宋简体"/>
          <w:sz w:val="32"/>
          <w:szCs w:val="24"/>
        </w:rPr>
      </w:pPr>
      <w:r>
        <w:rPr>
          <w:rFonts w:eastAsia="方正仿宋简体"/>
          <w:sz w:val="32"/>
        </w:rPr>
        <w:br w:type="page"/>
      </w:r>
    </w:p>
    <w:bookmarkEnd w:id="18"/>
    <w:bookmarkEnd w:id="19"/>
    <w:p>
      <w:pPr>
        <w:pStyle w:val="2"/>
        <w:keepNext w:val="0"/>
        <w:keepLines w:val="0"/>
        <w:spacing w:line="620" w:lineRule="exact"/>
        <w:textAlignment w:val="auto"/>
        <w:rPr>
          <w:rFonts w:ascii="Times New Roman" w:hAnsi="Times New Roman" w:eastAsia="方正小标宋简体"/>
          <w:b w:val="0"/>
          <w:sz w:val="44"/>
        </w:rPr>
      </w:pPr>
      <w:bookmarkStart w:id="20" w:name="_Toc117693181"/>
      <w:r>
        <w:rPr>
          <w:rFonts w:hint="eastAsia" w:ascii="Times New Roman" w:hAnsi="Times New Roman" w:eastAsia="方正小标宋简体"/>
          <w:b w:val="0"/>
          <w:sz w:val="44"/>
        </w:rPr>
        <w:t>第二章 总体要求</w:t>
      </w:r>
      <w:bookmarkEnd w:id="20"/>
    </w:p>
    <w:p>
      <w:pPr>
        <w:widowControl w:val="0"/>
        <w:adjustRightInd w:val="0"/>
        <w:snapToGrid w:val="0"/>
        <w:spacing w:line="570" w:lineRule="exact"/>
        <w:ind w:firstLine="640"/>
        <w:jc w:val="both"/>
        <w:rPr>
          <w:rFonts w:eastAsia="方正仿宋简体"/>
          <w:sz w:val="32"/>
        </w:rPr>
      </w:pPr>
    </w:p>
    <w:p>
      <w:pPr>
        <w:pStyle w:val="3"/>
        <w:keepNext w:val="0"/>
        <w:keepLines w:val="0"/>
        <w:widowControl w:val="0"/>
        <w:adjustRightInd w:val="0"/>
        <w:snapToGrid w:val="0"/>
        <w:spacing w:before="0" w:after="0" w:line="580" w:lineRule="exact"/>
        <w:jc w:val="center"/>
        <w:rPr>
          <w:rFonts w:ascii="黑体" w:hAnsi="黑体" w:eastAsia="楷体"/>
          <w:b w:val="0"/>
          <w:bCs w:val="0"/>
          <w:kern w:val="0"/>
          <w:szCs w:val="20"/>
        </w:rPr>
      </w:pPr>
      <w:bookmarkStart w:id="21" w:name="_Toc117693182"/>
      <w:bookmarkStart w:id="22" w:name="_Toc13244"/>
      <w:r>
        <w:rPr>
          <w:rFonts w:hint="eastAsia" w:ascii="黑体" w:hAnsi="黑体"/>
          <w:b w:val="0"/>
          <w:bCs w:val="0"/>
          <w:kern w:val="0"/>
          <w:szCs w:val="20"/>
        </w:rPr>
        <w:t>第一节 指导思想</w:t>
      </w:r>
      <w:bookmarkEnd w:id="21"/>
    </w:p>
    <w:p>
      <w:pPr>
        <w:pStyle w:val="6"/>
        <w:adjustRightInd w:val="0"/>
        <w:snapToGrid w:val="0"/>
        <w:spacing w:line="580" w:lineRule="exact"/>
        <w:ind w:firstLine="640"/>
        <w:rPr>
          <w:rFonts w:eastAsia="方正仿宋简体"/>
          <w:color w:val="auto"/>
          <w:sz w:val="32"/>
        </w:rPr>
      </w:pPr>
      <w:r>
        <w:rPr>
          <w:rFonts w:hint="eastAsia" w:eastAsia="方正仿宋简体"/>
          <w:color w:val="auto"/>
          <w:sz w:val="32"/>
        </w:rPr>
        <w:t>全面贯彻党的二十大精神，以习近平新时代中国特色社会主义思想为指导，紧扣“粤港澳大湾区”发展规划和“交通强国”发展战略，深入贯彻习近平总书记对广东重要讲话和重要指示精神，紧紧围绕省委“1310”具体部署和市委“433”工作安排，以高质量发展为首要任务，以“百千万工程”为主要抓手，深化落实区委“1+3个3”工作思路，大力实施“五大融湾工程”，主动对接融入“双区”和横琴、前海、南沙三大平台以及珠江西岸都市圈建设，以推动融湾高质量发展为主题，一方面着力畅通对外综合运输通道，构建“东融西畅，南拓北优”的现代化综合交通运输体系，进一步拉近与“双区”的时空距离，接受“双区”核心城市的辐射带动和资源溢出，另一方面高效衔接综合交通枢纽，优化交通网络结构，提升综合运输服务水平，增强交通支撑保障能力，为阳东构建“一轴一带、一核三区”发展新格局，推动阳东高质量发展实现新跨越提供有力支撑。</w:t>
      </w:r>
    </w:p>
    <w:p>
      <w:pPr>
        <w:pStyle w:val="3"/>
        <w:keepNext w:val="0"/>
        <w:keepLines w:val="0"/>
        <w:widowControl w:val="0"/>
        <w:adjustRightInd w:val="0"/>
        <w:snapToGrid w:val="0"/>
        <w:spacing w:before="0" w:after="0" w:line="580" w:lineRule="exact"/>
        <w:jc w:val="center"/>
        <w:rPr>
          <w:b w:val="0"/>
        </w:rPr>
      </w:pPr>
      <w:bookmarkStart w:id="23" w:name="_Toc117693183"/>
      <w:r>
        <w:rPr>
          <w:rFonts w:hint="eastAsia" w:ascii="黑体" w:hAnsi="黑体"/>
          <w:b w:val="0"/>
          <w:bCs w:val="0"/>
          <w:kern w:val="0"/>
          <w:szCs w:val="20"/>
        </w:rPr>
        <w:t>第二节 规划原则</w:t>
      </w:r>
      <w:bookmarkEnd w:id="23"/>
    </w:p>
    <w:p>
      <w:pPr>
        <w:pStyle w:val="4"/>
        <w:keepNext w:val="0"/>
        <w:keepLines w:val="0"/>
        <w:widowControl w:val="0"/>
        <w:adjustRightInd w:val="0"/>
        <w:snapToGrid w:val="0"/>
        <w:spacing w:before="0" w:after="0" w:line="580" w:lineRule="exact"/>
        <w:ind w:firstLine="640"/>
        <w:jc w:val="both"/>
        <w:rPr>
          <w:rFonts w:eastAsia="方正楷体简体"/>
          <w:b w:val="0"/>
          <w:bCs w:val="0"/>
        </w:rPr>
      </w:pPr>
      <w:r>
        <w:rPr>
          <w:rFonts w:hint="eastAsia" w:eastAsia="方正楷体简体"/>
          <w:b w:val="0"/>
          <w:bCs w:val="0"/>
        </w:rPr>
        <w:t>（一）统筹全局，突出重点</w:t>
      </w:r>
    </w:p>
    <w:p>
      <w:pPr>
        <w:pStyle w:val="6"/>
        <w:adjustRightInd w:val="0"/>
        <w:snapToGrid w:val="0"/>
        <w:spacing w:line="580" w:lineRule="exact"/>
        <w:ind w:firstLine="640"/>
        <w:rPr>
          <w:rFonts w:eastAsia="方正仿宋简体"/>
          <w:color w:val="auto"/>
          <w:sz w:val="32"/>
        </w:rPr>
      </w:pPr>
      <w:r>
        <w:rPr>
          <w:rFonts w:hint="eastAsia" w:eastAsia="方正仿宋简体"/>
          <w:color w:val="auto"/>
          <w:sz w:val="32"/>
        </w:rPr>
        <w:t>坚持统筹全局和重点突破的统一，既要做好统筹规划、资源整合、协同管理、分类指导，又要突出交通建设项目工作重点，优化存量设施，提升增量品质，补齐区域交通短板，注重交通建设的系统性、整体性、协同性，加快形成多层次、一体化、广覆盖的综合交通运输体系。</w:t>
      </w:r>
    </w:p>
    <w:p>
      <w:pPr>
        <w:pStyle w:val="4"/>
        <w:keepNext w:val="0"/>
        <w:keepLines w:val="0"/>
        <w:widowControl w:val="0"/>
        <w:adjustRightInd w:val="0"/>
        <w:snapToGrid w:val="0"/>
        <w:spacing w:before="0" w:after="0" w:line="580" w:lineRule="exact"/>
        <w:ind w:firstLine="640"/>
        <w:jc w:val="both"/>
        <w:rPr>
          <w:rFonts w:eastAsia="方正楷体简体"/>
          <w:b w:val="0"/>
          <w:bCs w:val="0"/>
        </w:rPr>
      </w:pPr>
      <w:r>
        <w:rPr>
          <w:rFonts w:hint="eastAsia" w:eastAsia="方正楷体简体"/>
          <w:b w:val="0"/>
          <w:bCs w:val="0"/>
        </w:rPr>
        <w:t>（二）适度超前，分步实施</w:t>
      </w:r>
    </w:p>
    <w:p>
      <w:pPr>
        <w:pStyle w:val="6"/>
        <w:adjustRightInd w:val="0"/>
        <w:snapToGrid w:val="0"/>
        <w:spacing w:line="580" w:lineRule="exact"/>
        <w:ind w:firstLine="640"/>
        <w:rPr>
          <w:rFonts w:eastAsia="方正仿宋简体"/>
          <w:color w:val="auto"/>
          <w:sz w:val="32"/>
        </w:rPr>
      </w:pPr>
      <w:r>
        <w:rPr>
          <w:rFonts w:hint="eastAsia" w:eastAsia="方正仿宋简体"/>
          <w:color w:val="auto"/>
          <w:sz w:val="32"/>
        </w:rPr>
        <w:t>规划既要对标先进高起点、高标准，也要切合阳东实际情况，提出具有可操作性、可实施性的规划方案；既要立足当前不平衡不充分突出问题，也要着眼长远，科学安排、适度超前规划、建设和论证储备一批交通基础设施项目，提升规划科学性、前瞻性，指引性为远景发展留出余地和弹性。</w:t>
      </w:r>
    </w:p>
    <w:p>
      <w:pPr>
        <w:pStyle w:val="4"/>
        <w:keepNext w:val="0"/>
        <w:keepLines w:val="0"/>
        <w:widowControl w:val="0"/>
        <w:adjustRightInd w:val="0"/>
        <w:snapToGrid w:val="0"/>
        <w:spacing w:before="0" w:after="0" w:line="580" w:lineRule="exact"/>
        <w:ind w:firstLine="640"/>
        <w:jc w:val="both"/>
        <w:rPr>
          <w:rFonts w:eastAsia="方正楷体简体"/>
          <w:b w:val="0"/>
          <w:bCs w:val="0"/>
        </w:rPr>
      </w:pPr>
      <w:r>
        <w:rPr>
          <w:rFonts w:hint="eastAsia" w:eastAsia="方正楷体简体"/>
          <w:b w:val="0"/>
          <w:bCs w:val="0"/>
        </w:rPr>
        <w:t>（三）综合衔接，协调有序</w:t>
      </w:r>
    </w:p>
    <w:p>
      <w:pPr>
        <w:pStyle w:val="6"/>
        <w:spacing w:line="580" w:lineRule="exact"/>
        <w:ind w:firstLine="640"/>
        <w:rPr>
          <w:rFonts w:eastAsia="方正仿宋简体"/>
          <w:color w:val="auto"/>
          <w:sz w:val="32"/>
        </w:rPr>
      </w:pPr>
      <w:r>
        <w:rPr>
          <w:rFonts w:hint="eastAsia" w:eastAsia="方正仿宋简体"/>
          <w:color w:val="auto"/>
          <w:sz w:val="32"/>
        </w:rPr>
        <w:t>充分发挥铁路、公路、水路、航空等多种运输方式的比较优势和组合效率，大力推进多式联运发展，加强不同运输方式间的快速衔接与便捷换乘。协调交通与市域城镇体系、国土、环保、旅游、产业等相关子系统规划进行衔接，形成结构布局合理的综合交通运输网络，高效发挥综合交通运输体系的整体功能，实现人畅其行、货畅其流。</w:t>
      </w:r>
    </w:p>
    <w:p>
      <w:pPr>
        <w:pStyle w:val="4"/>
        <w:keepNext w:val="0"/>
        <w:keepLines w:val="0"/>
        <w:widowControl w:val="0"/>
        <w:adjustRightInd w:val="0"/>
        <w:snapToGrid w:val="0"/>
        <w:spacing w:before="0" w:after="0" w:line="580" w:lineRule="exact"/>
        <w:ind w:firstLine="640"/>
        <w:jc w:val="both"/>
        <w:rPr>
          <w:rFonts w:eastAsia="方正楷体简体"/>
          <w:b w:val="0"/>
          <w:bCs w:val="0"/>
        </w:rPr>
      </w:pPr>
      <w:r>
        <w:rPr>
          <w:rFonts w:hint="eastAsia" w:eastAsia="方正楷体简体"/>
          <w:b w:val="0"/>
          <w:bCs w:val="0"/>
        </w:rPr>
        <w:t>（四）科技引领，提质增效</w:t>
      </w:r>
    </w:p>
    <w:p>
      <w:pPr>
        <w:pStyle w:val="6"/>
        <w:adjustRightInd w:val="0"/>
        <w:snapToGrid w:val="0"/>
        <w:spacing w:line="580" w:lineRule="exact"/>
        <w:ind w:firstLine="640"/>
        <w:rPr>
          <w:rFonts w:eastAsia="方正仿宋简体"/>
          <w:color w:val="auto"/>
          <w:sz w:val="32"/>
        </w:rPr>
      </w:pPr>
      <w:r>
        <w:rPr>
          <w:rFonts w:hint="eastAsia" w:eastAsia="方正仿宋简体"/>
          <w:color w:val="auto"/>
          <w:sz w:val="32"/>
        </w:rPr>
        <w:t>坚持以科技创新为引领，积极推动交通领域技术、制度、政策及管理方式改革创新，让创新成为交通运输提质增效的根本动力，营造良好的市场环境和政策环境。加快新技术、新方法在交通建设、管理中的应用，提升城市交通智慧化水平，加快培育综合交通新动能、新优势，不断提高综合交通服务质量和现代化水平。</w:t>
      </w:r>
    </w:p>
    <w:p>
      <w:pPr>
        <w:pStyle w:val="4"/>
        <w:keepNext w:val="0"/>
        <w:keepLines w:val="0"/>
        <w:widowControl w:val="0"/>
        <w:adjustRightInd w:val="0"/>
        <w:snapToGrid w:val="0"/>
        <w:spacing w:before="0" w:after="0" w:line="580" w:lineRule="exact"/>
        <w:ind w:firstLine="640"/>
        <w:jc w:val="both"/>
        <w:rPr>
          <w:rFonts w:eastAsia="方正楷体简体"/>
          <w:b w:val="0"/>
          <w:bCs w:val="0"/>
        </w:rPr>
      </w:pPr>
      <w:r>
        <w:rPr>
          <w:rFonts w:hint="eastAsia" w:eastAsia="方正楷体简体"/>
          <w:b w:val="0"/>
          <w:bCs w:val="0"/>
        </w:rPr>
        <w:t>（五）绿色转型，安全发展</w:t>
      </w:r>
    </w:p>
    <w:p>
      <w:pPr>
        <w:pStyle w:val="6"/>
        <w:adjustRightInd w:val="0"/>
        <w:snapToGrid w:val="0"/>
        <w:spacing w:line="580" w:lineRule="exact"/>
        <w:ind w:firstLine="640"/>
        <w:rPr>
          <w:rFonts w:eastAsia="方正仿宋简体"/>
          <w:color w:val="auto"/>
          <w:sz w:val="32"/>
        </w:rPr>
      </w:pPr>
      <w:r>
        <w:rPr>
          <w:rFonts w:hint="eastAsia" w:eastAsia="方正仿宋简体"/>
          <w:color w:val="auto"/>
          <w:sz w:val="32"/>
        </w:rPr>
        <w:t>落实碳达峰、碳中和目标要求，强化资源要素节约集约利用，整合既有资源，打造资源节约型、环境友好型的现代化综合运输体系，推动交通运输绿色低碳转型，开创可持续发展的综合交通运输新格局。加强运行安全和应急处置能力建设，牢固树立安全第一理念，全面提高综合交通的安全性和可靠性。</w:t>
      </w:r>
    </w:p>
    <w:p>
      <w:pPr>
        <w:pStyle w:val="3"/>
        <w:keepNext w:val="0"/>
        <w:keepLines w:val="0"/>
        <w:widowControl w:val="0"/>
        <w:adjustRightInd w:val="0"/>
        <w:snapToGrid w:val="0"/>
        <w:spacing w:before="0" w:after="0" w:line="590" w:lineRule="exact"/>
        <w:jc w:val="center"/>
        <w:rPr>
          <w:rFonts w:ascii="黑体" w:hAnsi="黑体" w:eastAsia="楷体"/>
          <w:b w:val="0"/>
          <w:bCs w:val="0"/>
          <w:kern w:val="0"/>
          <w:szCs w:val="20"/>
        </w:rPr>
      </w:pPr>
      <w:bookmarkStart w:id="24" w:name="_Toc117693184"/>
      <w:r>
        <w:rPr>
          <w:rFonts w:hint="eastAsia" w:ascii="黑体" w:hAnsi="黑体"/>
          <w:b w:val="0"/>
          <w:bCs w:val="0"/>
          <w:kern w:val="0"/>
          <w:szCs w:val="20"/>
        </w:rPr>
        <w:t>第三节 发展战略</w:t>
      </w:r>
      <w:bookmarkEnd w:id="24"/>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围绕构建互联互通、立体高效、结构优化、衔接顺畅、绿色智慧的海陆空立体综合交通体系的战略目标，提出“扼城向海，双区驱动，乡村振兴”发展战略，并从“区域融合、同城一体、区内畅达和品质交通”四个角度提出具体发展策略。</w:t>
      </w:r>
    </w:p>
    <w:p>
      <w:pPr>
        <w:pStyle w:val="4"/>
        <w:keepNext w:val="0"/>
        <w:keepLines w:val="0"/>
        <w:widowControl w:val="0"/>
        <w:adjustRightInd w:val="0"/>
        <w:snapToGrid w:val="0"/>
        <w:spacing w:before="0" w:after="0" w:line="590" w:lineRule="exact"/>
        <w:ind w:firstLine="640"/>
        <w:jc w:val="both"/>
        <w:rPr>
          <w:rFonts w:eastAsia="方正楷体简体"/>
          <w:b w:val="0"/>
          <w:bCs w:val="0"/>
        </w:rPr>
      </w:pPr>
      <w:r>
        <w:rPr>
          <w:rFonts w:hint="eastAsia" w:eastAsia="方正楷体简体"/>
          <w:b w:val="0"/>
          <w:bCs w:val="0"/>
        </w:rPr>
        <w:t>（一）区域融合——强化枢纽衔接，打造海陆空一体的对外交通体系。</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在区域层面，充分把握阳东作为联接粤港澳大湾区与北部湾城市群的黄金交汇点，以及阳江融入粤港澳大湾区桥头堡的区位优势，以推动阳东深度融入区域协调发展格局为目的，建设由高速铁路、高速公路、区域城际组成的多层次、一体化对外交通体系，促进阳东与粤港澳大湾区、海南自贸区、北部湾经济区核心城市间要素快速、便捷、高效、自由流动。</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构建互联互通高速网络大格局：根据广东省和阳江市已有的高速公路网规划，加快西部沿海高速阳江南联络线建设，推动深圳至南宁高速、沈海高速阳东支线、高明至阳东高速公路等高速公路谋划，促进阳东高效融入双区的互联互通的高速网络。</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建设多层次轨道交通体系：加快构建由高速铁路、城际轨道、城市轨道交通组成的多层次、一体化轨道交通体系，科学合理布局和设站，实现阳东与珠江口西岸都市圈、湛茂都市圈的高效联通，积极融入轨道上的大湾区。</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构建高效衔接的枢纽集疏运体系：依托即将建设的珠三角枢纽（广州新）机场、阳江机场和已建的合山通用机场，形成阳东联通国内国际的重要通道，加快完善机场多方式集疏运体系。强化综合交通枢纽建设，完善集疏运体系，促进客运零距离换乘、货运无缝化换装，重点强化阳东各片区分别与阳东站、阳江站、阳江北站以及阳春东站的高效衔接。</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提升港口发展能级：积极谋划阳东渔港货运码头和客运码头，根据港口腹地拓展方向，改善和提升港口泊位、货场和入港道路等硬件设施。</w:t>
      </w:r>
    </w:p>
    <w:p>
      <w:pPr>
        <w:pStyle w:val="4"/>
        <w:keepNext w:val="0"/>
        <w:keepLines w:val="0"/>
        <w:widowControl w:val="0"/>
        <w:adjustRightInd w:val="0"/>
        <w:snapToGrid w:val="0"/>
        <w:spacing w:before="0" w:after="0" w:line="590" w:lineRule="exact"/>
        <w:ind w:firstLine="640"/>
        <w:jc w:val="both"/>
        <w:rPr>
          <w:rFonts w:eastAsia="方正楷体简体"/>
          <w:b w:val="0"/>
          <w:bCs w:val="0"/>
        </w:rPr>
      </w:pPr>
      <w:r>
        <w:rPr>
          <w:rFonts w:hint="eastAsia" w:eastAsia="方正楷体简体"/>
          <w:b w:val="0"/>
          <w:bCs w:val="0"/>
        </w:rPr>
        <w:t>（二）同城一体——化空间优势为交通优势，构建开放畅达的快速化同城交通体系。</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在同城层面，充分发挥阳东紧邻阳江中心城区的区位优势，化空间区位优势为交通区位优势，规划建设城际轨道和城市轨道，完善相关的快速路和干线路网，形成阳东与阳江市区一体高效的快速通道，构建开放畅达、深度融合的同城交通体系。</w:t>
      </w:r>
    </w:p>
    <w:p>
      <w:pPr>
        <w:pStyle w:val="6"/>
        <w:adjustRightInd w:val="0"/>
        <w:snapToGrid w:val="0"/>
        <w:spacing w:line="590" w:lineRule="exact"/>
        <w:ind w:firstLine="640"/>
        <w:rPr>
          <w:rFonts w:eastAsia="方正仿宋简体"/>
          <w:color w:val="auto"/>
          <w:sz w:val="32"/>
        </w:rPr>
      </w:pPr>
      <w:r>
        <w:rPr>
          <w:rFonts w:eastAsia="方正仿宋简体"/>
          <w:color w:val="auto"/>
          <w:sz w:val="32"/>
        </w:rPr>
        <w:t>建设</w:t>
      </w:r>
      <w:r>
        <w:rPr>
          <w:rFonts w:hint="eastAsia" w:eastAsia="方正仿宋简体"/>
          <w:color w:val="auto"/>
          <w:sz w:val="32"/>
        </w:rPr>
        <w:t>阳东城市</w:t>
      </w:r>
      <w:r>
        <w:rPr>
          <w:rFonts w:eastAsia="方正仿宋简体"/>
          <w:color w:val="auto"/>
          <w:sz w:val="32"/>
        </w:rPr>
        <w:t>轨道网：根据</w:t>
      </w:r>
      <w:r>
        <w:rPr>
          <w:rFonts w:hint="eastAsia" w:eastAsia="方正仿宋简体"/>
          <w:color w:val="auto"/>
          <w:sz w:val="32"/>
        </w:rPr>
        <w:t>阳江</w:t>
      </w:r>
      <w:r>
        <w:rPr>
          <w:rFonts w:eastAsia="方正仿宋简体"/>
          <w:color w:val="auto"/>
          <w:sz w:val="32"/>
        </w:rPr>
        <w:t>既有的轨道网规划，构建</w:t>
      </w:r>
      <w:r>
        <w:rPr>
          <w:rFonts w:hint="eastAsia" w:eastAsia="方正仿宋简体"/>
          <w:color w:val="auto"/>
          <w:sz w:val="32"/>
        </w:rPr>
        <w:t>阳东城市</w:t>
      </w:r>
      <w:r>
        <w:rPr>
          <w:rFonts w:eastAsia="方正仿宋简体"/>
          <w:color w:val="auto"/>
          <w:sz w:val="32"/>
        </w:rPr>
        <w:t>轨道网络体系，进行合理布局及设站，实现</w:t>
      </w:r>
      <w:r>
        <w:rPr>
          <w:rFonts w:hint="eastAsia" w:eastAsia="方正仿宋简体"/>
          <w:color w:val="auto"/>
          <w:sz w:val="32"/>
        </w:rPr>
        <w:t>阳东</w:t>
      </w:r>
      <w:r>
        <w:rPr>
          <w:rFonts w:eastAsia="方正仿宋简体"/>
          <w:color w:val="auto"/>
          <w:sz w:val="32"/>
        </w:rPr>
        <w:t>与</w:t>
      </w:r>
      <w:r>
        <w:rPr>
          <w:rFonts w:hint="eastAsia" w:eastAsia="方正仿宋简体"/>
          <w:color w:val="auto"/>
          <w:sz w:val="32"/>
        </w:rPr>
        <w:t>阳江市区</w:t>
      </w:r>
      <w:r>
        <w:rPr>
          <w:rFonts w:eastAsia="方正仿宋简体"/>
          <w:color w:val="auto"/>
          <w:sz w:val="32"/>
        </w:rPr>
        <w:t>快速联系。</w:t>
      </w:r>
    </w:p>
    <w:p>
      <w:pPr>
        <w:pStyle w:val="6"/>
        <w:adjustRightInd w:val="0"/>
        <w:snapToGrid w:val="0"/>
        <w:spacing w:line="590" w:lineRule="exact"/>
        <w:ind w:firstLine="640"/>
        <w:rPr>
          <w:rFonts w:eastAsia="方正仿宋简体"/>
          <w:color w:val="auto"/>
          <w:sz w:val="32"/>
        </w:rPr>
      </w:pPr>
      <w:r>
        <w:rPr>
          <w:rFonts w:eastAsia="方正仿宋简体"/>
          <w:color w:val="auto"/>
          <w:sz w:val="32"/>
        </w:rPr>
        <w:t>优化快速路和相关的干线公路网络体系：完善</w:t>
      </w:r>
      <w:r>
        <w:rPr>
          <w:rFonts w:hint="eastAsia" w:eastAsia="方正仿宋简体"/>
          <w:color w:val="auto"/>
          <w:sz w:val="32"/>
        </w:rPr>
        <w:t>阳东</w:t>
      </w:r>
      <w:r>
        <w:rPr>
          <w:rFonts w:eastAsia="方正仿宋简体"/>
          <w:color w:val="auto"/>
          <w:sz w:val="32"/>
        </w:rPr>
        <w:t>与同城区域联系的快速路和干线公路网，与轨道交通一起，推动</w:t>
      </w:r>
      <w:r>
        <w:rPr>
          <w:rFonts w:hint="eastAsia" w:eastAsia="方正仿宋简体"/>
          <w:color w:val="auto"/>
          <w:sz w:val="32"/>
        </w:rPr>
        <w:t>阳东</w:t>
      </w:r>
      <w:r>
        <w:rPr>
          <w:rFonts w:eastAsia="方正仿宋简体"/>
          <w:color w:val="auto"/>
          <w:sz w:val="32"/>
        </w:rPr>
        <w:t>与</w:t>
      </w:r>
      <w:r>
        <w:rPr>
          <w:rFonts w:hint="eastAsia" w:eastAsia="方正仿宋简体"/>
          <w:color w:val="auto"/>
          <w:sz w:val="32"/>
        </w:rPr>
        <w:t>阳江市区</w:t>
      </w:r>
      <w:r>
        <w:rPr>
          <w:rFonts w:eastAsia="方正仿宋简体"/>
          <w:color w:val="auto"/>
          <w:sz w:val="32"/>
        </w:rPr>
        <w:t>综合交通</w:t>
      </w:r>
      <w:r>
        <w:rPr>
          <w:rFonts w:hint="eastAsia" w:eastAsia="方正仿宋简体"/>
          <w:color w:val="auto"/>
          <w:sz w:val="32"/>
        </w:rPr>
        <w:t>网络</w:t>
      </w:r>
      <w:r>
        <w:rPr>
          <w:rFonts w:eastAsia="方正仿宋简体"/>
          <w:color w:val="auto"/>
          <w:sz w:val="32"/>
        </w:rPr>
        <w:t>的深度融合。</w:t>
      </w:r>
    </w:p>
    <w:p>
      <w:pPr>
        <w:pStyle w:val="4"/>
        <w:keepNext w:val="0"/>
        <w:keepLines w:val="0"/>
        <w:widowControl w:val="0"/>
        <w:adjustRightInd w:val="0"/>
        <w:snapToGrid w:val="0"/>
        <w:spacing w:before="0" w:after="0" w:line="590" w:lineRule="exact"/>
        <w:ind w:firstLine="640"/>
        <w:jc w:val="both"/>
        <w:rPr>
          <w:rFonts w:eastAsia="方正楷体简体"/>
          <w:b w:val="0"/>
          <w:bCs w:val="0"/>
        </w:rPr>
      </w:pPr>
      <w:r>
        <w:rPr>
          <w:rFonts w:hint="eastAsia" w:eastAsia="方正楷体简体"/>
          <w:b w:val="0"/>
          <w:bCs w:val="0"/>
        </w:rPr>
        <w:t>（三）区内畅达——支撑引领区域协调发展，打造顺畅便捷的区内交通体系。</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在阳东区内层面，完善优化以“高效率的普通干线网+广覆盖的基础网”为主的区内交通体系，强化中部产城融合带交通通道能力，补齐北部山区和南部沿海片区交通短板，加强组团间、组团内顺畅便捷联系，为新时期阳东产业实现跨越式发展，以及打造 “一轴一带、一核三区”的总体空间格局提供有力支撑。</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建设区内快速干线网络</w:t>
      </w:r>
      <w:r>
        <w:rPr>
          <w:rFonts w:eastAsia="方正仿宋简体"/>
          <w:color w:val="auto"/>
          <w:sz w:val="32"/>
        </w:rPr>
        <w:t>：</w:t>
      </w:r>
      <w:r>
        <w:rPr>
          <w:rFonts w:hint="eastAsia" w:eastAsia="方正仿宋简体"/>
          <w:color w:val="auto"/>
          <w:sz w:val="32"/>
        </w:rPr>
        <w:t>统筹考虑区内国土空间规划和产业空间布局，高位谋划快速干线网络布局，强化进港区、进园区、进厂区、进规模化农产品基地等集疏运干线建设。加强干线公路与城市道路的一体融合，提升通行能力和服务水平，实现中心城区与主要乡镇、重要节点的快速便捷联通。</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完善广覆盖支线集散网络：深化“四好农村路”建设，提升区域支线路网密度，促进路网通达深度的提升；针对既有的断头路、瓶颈路等制约性环节，进行重点弥补和重点强化，提高居民出行便捷性和舒适度。</w:t>
      </w:r>
    </w:p>
    <w:p>
      <w:pPr>
        <w:pStyle w:val="4"/>
        <w:keepNext w:val="0"/>
        <w:keepLines w:val="0"/>
        <w:widowControl w:val="0"/>
        <w:adjustRightInd w:val="0"/>
        <w:snapToGrid w:val="0"/>
        <w:spacing w:before="0" w:after="0" w:line="590" w:lineRule="exact"/>
        <w:ind w:firstLine="640"/>
        <w:jc w:val="both"/>
        <w:rPr>
          <w:rFonts w:eastAsia="方正楷体简体"/>
          <w:b w:val="0"/>
          <w:bCs w:val="0"/>
        </w:rPr>
      </w:pPr>
      <w:r>
        <w:rPr>
          <w:rFonts w:hint="eastAsia" w:eastAsia="方正楷体简体"/>
          <w:b w:val="0"/>
          <w:bCs w:val="0"/>
        </w:rPr>
        <w:t>（四）</w:t>
      </w:r>
      <w:r>
        <w:rPr>
          <w:rFonts w:eastAsia="方正楷体简体"/>
          <w:b w:val="0"/>
          <w:bCs w:val="0"/>
        </w:rPr>
        <w:t>品质交通——</w:t>
      </w:r>
      <w:r>
        <w:rPr>
          <w:rFonts w:hint="eastAsia" w:eastAsia="方正楷体简体"/>
          <w:b w:val="0"/>
          <w:bCs w:val="0"/>
        </w:rPr>
        <w:t>强化高品质交通运输服务，</w:t>
      </w:r>
      <w:r>
        <w:rPr>
          <w:rFonts w:eastAsia="方正楷体简体"/>
          <w:b w:val="0"/>
          <w:bCs w:val="0"/>
        </w:rPr>
        <w:t>推进智慧绿色平安交通建设</w:t>
      </w:r>
      <w:r>
        <w:rPr>
          <w:rFonts w:hint="eastAsia" w:eastAsia="方正楷体简体"/>
          <w:b w:val="0"/>
          <w:bCs w:val="0"/>
        </w:rPr>
        <w:t>。</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基于“山海湖泉、醉美阳东”的特色形象定位，以高质量发展为导向，构建“快进慢游”的旅游交通网络。打造高品质综合客货运输网络，强化高品质运输服务供给。构建阳东区智慧型生态交通系统，推进交通运输绿色、智慧、集约、安全发展。</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打造阳东特色旅游交通体系：深化阳东区旅游公路规划，打造阳东滨海旅游与山区生态旅游“山海联动”的特色旅游公路网，形成高品质错位和联动发展模式，支撑阳东旅游业全区域、全要素、全产业链快速发展。</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打造高品质客货运输服务：推进全域公交，构建城乡公交三级网络（城区内部网络、城区到各乡镇的网络、乡镇客运站至各基层村的网络）；加快运输结构调整，推动多式联运、商贸物流、配送物流和新型物流发展。</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建设智慧型生态交通系统：结合阳东生态格局，坚持生态优先，全面推进绿色低碳转型；积极应用5</w:t>
      </w:r>
      <w:r>
        <w:rPr>
          <w:rFonts w:eastAsia="方正仿宋简体"/>
          <w:color w:val="auto"/>
          <w:sz w:val="32"/>
        </w:rPr>
        <w:t>G</w:t>
      </w:r>
      <w:r>
        <w:rPr>
          <w:rFonts w:hint="eastAsia" w:eastAsia="方正仿宋简体"/>
          <w:color w:val="auto"/>
          <w:sz w:val="32"/>
        </w:rPr>
        <w:t>、大数据、人工智能、物联网等新一代信息技术，加速新型智慧交通建设；综合运用法律、行政、科技和经济等手段，提升交通运输安全监管和应急保障能力。</w:t>
      </w:r>
    </w:p>
    <w:p>
      <w:pPr>
        <w:ind w:firstLine="640"/>
        <w:rPr>
          <w:rFonts w:ascii="仿宋" w:hAnsi="仿宋"/>
          <w:sz w:val="32"/>
          <w:szCs w:val="32"/>
        </w:rPr>
      </w:pPr>
    </w:p>
    <w:p>
      <w:pPr>
        <w:ind w:firstLine="640"/>
        <w:rPr>
          <w:rFonts w:ascii="仿宋" w:hAnsi="仿宋"/>
          <w:sz w:val="32"/>
          <w:szCs w:val="32"/>
        </w:rPr>
      </w:pPr>
    </w:p>
    <w:p>
      <w:pPr>
        <w:pStyle w:val="6"/>
        <w:ind w:firstLine="640"/>
        <w:rPr>
          <w:rFonts w:eastAsia="方正仿宋简体"/>
          <w:color w:val="auto"/>
          <w:sz w:val="32"/>
        </w:rPr>
        <w:sectPr>
          <w:pgSz w:w="11906" w:h="16838"/>
          <w:pgMar w:top="1440" w:right="1800" w:bottom="1440" w:left="1800" w:header="851" w:footer="992" w:gutter="0"/>
          <w:cols w:space="425" w:num="1"/>
          <w:docGrid w:type="lines" w:linePitch="312" w:charSpace="0"/>
        </w:sectPr>
      </w:pPr>
    </w:p>
    <w:p>
      <w:pPr>
        <w:pStyle w:val="3"/>
        <w:keepNext w:val="0"/>
        <w:keepLines w:val="0"/>
        <w:widowControl w:val="0"/>
        <w:adjustRightInd w:val="0"/>
        <w:snapToGrid w:val="0"/>
        <w:spacing w:before="0" w:after="0" w:line="520" w:lineRule="exact"/>
        <w:jc w:val="center"/>
        <w:rPr>
          <w:rFonts w:ascii="黑体" w:hAnsi="黑体" w:eastAsia="楷体"/>
          <w:b w:val="0"/>
          <w:bCs w:val="0"/>
          <w:kern w:val="0"/>
          <w:szCs w:val="20"/>
        </w:rPr>
      </w:pPr>
      <w:bookmarkStart w:id="25" w:name="_Toc7333"/>
      <w:bookmarkStart w:id="26" w:name="_Toc117693185"/>
      <w:r>
        <w:rPr>
          <w:rFonts w:hint="eastAsia" w:ascii="黑体" w:hAnsi="黑体"/>
          <w:b w:val="0"/>
          <w:bCs w:val="0"/>
          <w:kern w:val="0"/>
          <w:szCs w:val="20"/>
        </w:rPr>
        <w:t>第四节 发展目标</w:t>
      </w:r>
      <w:bookmarkEnd w:id="25"/>
      <w:bookmarkEnd w:id="26"/>
    </w:p>
    <w:p>
      <w:pPr>
        <w:pStyle w:val="6"/>
        <w:adjustRightInd w:val="0"/>
        <w:snapToGrid w:val="0"/>
        <w:spacing w:line="520" w:lineRule="exact"/>
        <w:ind w:firstLine="640"/>
        <w:rPr>
          <w:rFonts w:eastAsia="方正仿宋简体"/>
          <w:color w:val="auto"/>
          <w:sz w:val="32"/>
        </w:rPr>
      </w:pPr>
      <w:bookmarkStart w:id="27" w:name="_Hlk83892005"/>
      <w:r>
        <w:rPr>
          <w:rFonts w:hint="eastAsia" w:eastAsia="方正仿宋简体"/>
          <w:color w:val="auto"/>
          <w:sz w:val="32"/>
        </w:rPr>
        <w:t>到2</w:t>
      </w:r>
      <w:r>
        <w:rPr>
          <w:rFonts w:eastAsia="方正仿宋简体"/>
          <w:color w:val="auto"/>
          <w:sz w:val="32"/>
        </w:rPr>
        <w:t>035</w:t>
      </w:r>
      <w:r>
        <w:rPr>
          <w:rFonts w:hint="eastAsia" w:eastAsia="方正仿宋简体"/>
          <w:color w:val="auto"/>
          <w:sz w:val="32"/>
        </w:rPr>
        <w:t>年，围绕构建沿海经济带重要枢纽节点城市，打造以阳东站、合山机场、东平港锚固的“五高三铁二航”综合立体交通网络体系，构建三大枢纽圈，全面实现“市内快速化、县际半小时、融湾一小时”，有力支撑阳东深度“融湾”迈出新步伐。</w:t>
      </w:r>
    </w:p>
    <w:bookmarkEnd w:id="27"/>
    <w:p>
      <w:pPr>
        <w:pStyle w:val="6"/>
        <w:adjustRightInd w:val="0"/>
        <w:snapToGrid w:val="0"/>
        <w:spacing w:line="520" w:lineRule="exact"/>
        <w:ind w:firstLine="643"/>
        <w:rPr>
          <w:rFonts w:eastAsia="方正仿宋简体"/>
          <w:color w:val="auto"/>
          <w:sz w:val="32"/>
        </w:rPr>
      </w:pPr>
      <w:bookmarkStart w:id="28" w:name="_Toc62033316"/>
      <w:r>
        <w:rPr>
          <w:rFonts w:hint="eastAsia" w:eastAsia="方正仿宋简体"/>
          <w:b/>
          <w:bCs/>
          <w:color w:val="auto"/>
          <w:sz w:val="32"/>
        </w:rPr>
        <w:t>五高三铁二航：</w:t>
      </w:r>
      <w:r>
        <w:rPr>
          <w:rFonts w:hint="eastAsia" w:eastAsia="方正仿宋简体"/>
          <w:color w:val="auto"/>
          <w:sz w:val="32"/>
        </w:rPr>
        <w:t>五高，沈海高速、西部沿海高速、沈海高速阳东支线、高明至阳东高速、深圳至南宁高速；三铁、深茂铁路、广湛高铁、珠海至阳江高铁；二航、合山通用机场、东平航道。</w:t>
      </w:r>
    </w:p>
    <w:p>
      <w:pPr>
        <w:pStyle w:val="6"/>
        <w:adjustRightInd w:val="0"/>
        <w:snapToGrid w:val="0"/>
        <w:spacing w:line="520" w:lineRule="exact"/>
        <w:ind w:firstLine="643"/>
        <w:rPr>
          <w:rFonts w:eastAsia="方正仿宋简体"/>
          <w:color w:val="auto"/>
          <w:sz w:val="32"/>
        </w:rPr>
      </w:pPr>
      <w:r>
        <w:rPr>
          <w:rFonts w:hint="eastAsia" w:eastAsia="方正仿宋简体"/>
          <w:b/>
          <w:bCs/>
          <w:color w:val="auto"/>
          <w:sz w:val="32"/>
        </w:rPr>
        <w:t>三大枢纽圈：</w:t>
      </w:r>
      <w:r>
        <w:rPr>
          <w:rFonts w:hint="eastAsia" w:eastAsia="方正仿宋简体"/>
          <w:color w:val="auto"/>
          <w:sz w:val="32"/>
        </w:rPr>
        <w:t>阳东各镇15分钟内上高速，30分钟左右通达高铁站，60分钟左右通达机场、港口等重大交通枢纽。</w:t>
      </w:r>
      <w:bookmarkEnd w:id="28"/>
    </w:p>
    <w:tbl>
      <w:tblPr>
        <w:tblStyle w:val="145"/>
        <w:tblW w:w="5573" w:type="pct"/>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9"/>
        <w:gridCol w:w="1347"/>
        <w:gridCol w:w="889"/>
        <w:gridCol w:w="889"/>
        <w:gridCol w:w="889"/>
        <w:gridCol w:w="889"/>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000" w:type="pct"/>
            <w:gridSpan w:val="7"/>
            <w:vAlign w:val="center"/>
          </w:tcPr>
          <w:p>
            <w:pPr>
              <w:widowControl w:val="0"/>
              <w:spacing w:line="280" w:lineRule="exact"/>
              <w:ind w:firstLine="0" w:firstLineChars="0"/>
              <w:jc w:val="center"/>
              <w:rPr>
                <w:rFonts w:eastAsia="方正小标宋简体"/>
              </w:rPr>
            </w:pPr>
            <w:r>
              <w:rPr>
                <w:rFonts w:hint="eastAsia" w:ascii="黑体" w:hAnsi="黑体" w:eastAsia="方正小标宋简体" w:cs="宋体"/>
                <w:szCs w:val="28"/>
              </w:rPr>
              <w:t>专栏一 阳东区综合交通运输体系发展目标一览表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68"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指标</w:t>
            </w:r>
          </w:p>
        </w:tc>
        <w:tc>
          <w:tcPr>
            <w:tcW w:w="709"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单位</w:t>
            </w:r>
          </w:p>
        </w:tc>
        <w:tc>
          <w:tcPr>
            <w:tcW w:w="468"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2020年</w:t>
            </w:r>
          </w:p>
        </w:tc>
        <w:tc>
          <w:tcPr>
            <w:tcW w:w="468"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2025年</w:t>
            </w:r>
          </w:p>
        </w:tc>
        <w:tc>
          <w:tcPr>
            <w:tcW w:w="468"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指标</w:t>
            </w:r>
          </w:p>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属性</w:t>
            </w:r>
          </w:p>
        </w:tc>
        <w:tc>
          <w:tcPr>
            <w:tcW w:w="468"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2035年</w:t>
            </w:r>
          </w:p>
        </w:tc>
        <w:tc>
          <w:tcPr>
            <w:tcW w:w="851" w:type="pct"/>
            <w:vAlign w:val="center"/>
          </w:tcPr>
          <w:p>
            <w:pPr>
              <w:pStyle w:val="93"/>
              <w:spacing w:line="260" w:lineRule="exact"/>
              <w:rPr>
                <w:rFonts w:ascii="Times New Roman" w:hAnsi="Times New Roman" w:eastAsia="黑体" w:cs="Times New Roman"/>
                <w:color w:val="auto"/>
              </w:rPr>
            </w:pPr>
            <w:r>
              <w:rPr>
                <w:rFonts w:ascii="Times New Roman" w:hAnsi="Times New Roman" w:eastAsia="黑体" w:cs="Times New Roman"/>
                <w:color w:val="auto"/>
              </w:rPr>
              <w:t>2020至2035年增加值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1.轨道铁路营运里程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34</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62</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约束性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174</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其中干线铁路</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34</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62</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约束性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120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其中城际轨道</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37</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其中城市轨道</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17</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2.公路总里程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2434</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2532</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2700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其中公路网密度</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公里/百平方公里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142.9</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148.7</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约束性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158.5</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其中高速公路里程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107</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113.7</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约束性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228</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68" w:type="pct"/>
            <w:vAlign w:val="center"/>
          </w:tcPr>
          <w:p>
            <w:pPr>
              <w:pStyle w:val="93"/>
              <w:spacing w:line="260" w:lineRule="exact"/>
              <w:rPr>
                <w:rFonts w:ascii="Times New Roman" w:hAnsi="Times New Roman" w:eastAsia="方正仿宋简体" w:cs="Times New Roman"/>
                <w:color w:val="auto"/>
                <w:lang w:eastAsia="zh-CN"/>
              </w:rPr>
            </w:pPr>
            <w:r>
              <w:rPr>
                <w:rFonts w:ascii="Times New Roman" w:hAnsi="Times New Roman" w:eastAsia="方正仿宋简体" w:cs="Times New Roman"/>
                <w:color w:val="auto"/>
                <w:lang w:eastAsia="zh-CN"/>
              </w:rPr>
              <w:t>其中二级以上公路比例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10.5</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15.6</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21</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3.内河航道通航里程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49</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49</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49</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lang w:eastAsia="zh-CN"/>
              </w:rPr>
            </w:pPr>
            <w:r>
              <w:rPr>
                <w:rFonts w:ascii="Times New Roman" w:hAnsi="Times New Roman" w:eastAsia="方正仿宋简体" w:cs="Times New Roman"/>
                <w:color w:val="auto"/>
                <w:lang w:eastAsia="zh-CN"/>
              </w:rPr>
              <w:t>其中三级以上航道里程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公里</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0</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14</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4.万人拥有公交车数量</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标台</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2.57</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5</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5.500米公交站点覆盖率</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80</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568" w:type="pct"/>
            <w:vAlign w:val="center"/>
          </w:tcPr>
          <w:p>
            <w:pPr>
              <w:pStyle w:val="93"/>
              <w:spacing w:line="260" w:lineRule="exact"/>
              <w:rPr>
                <w:rFonts w:ascii="Times New Roman" w:hAnsi="Times New Roman" w:eastAsia="方正仿宋简体" w:cs="Times New Roman"/>
                <w:color w:val="auto"/>
                <w:lang w:eastAsia="zh-CN"/>
              </w:rPr>
            </w:pPr>
            <w:r>
              <w:rPr>
                <w:rFonts w:ascii="Times New Roman" w:hAnsi="Times New Roman" w:eastAsia="方正仿宋简体" w:cs="Times New Roman"/>
                <w:color w:val="auto"/>
                <w:lang w:eastAsia="zh-CN"/>
              </w:rPr>
              <w:t>6.建制村快递服务通达率</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100</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约束性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lang w:eastAsia="zh-CN"/>
              </w:rPr>
            </w:pPr>
            <w:r>
              <w:rPr>
                <w:rFonts w:ascii="Times New Roman" w:hAnsi="Times New Roman" w:eastAsia="方正仿宋简体" w:cs="Times New Roman"/>
                <w:color w:val="auto"/>
                <w:lang w:eastAsia="zh-CN"/>
              </w:rPr>
              <w:t>7.乡镇30分钟上高速铁路或者到达运输机场比例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73</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82</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68" w:type="pct"/>
            <w:vAlign w:val="center"/>
          </w:tcPr>
          <w:p>
            <w:pPr>
              <w:pStyle w:val="93"/>
              <w:spacing w:line="260" w:lineRule="exact"/>
              <w:rPr>
                <w:rFonts w:ascii="Times New Roman" w:hAnsi="Times New Roman" w:eastAsia="方正仿宋简体" w:cs="Times New Roman"/>
                <w:color w:val="auto"/>
                <w:lang w:eastAsia="zh-CN"/>
              </w:rPr>
            </w:pPr>
            <w:r>
              <w:rPr>
                <w:rFonts w:ascii="Times New Roman" w:hAnsi="Times New Roman" w:eastAsia="方正仿宋简体" w:cs="Times New Roman"/>
                <w:color w:val="auto"/>
                <w:lang w:eastAsia="zh-CN"/>
              </w:rPr>
              <w:t>8.乡镇15分钟上高速公路比例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82</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82</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68" w:type="pct"/>
            <w:vAlign w:val="center"/>
          </w:tcPr>
          <w:p>
            <w:pPr>
              <w:pStyle w:val="93"/>
              <w:spacing w:line="260" w:lineRule="exact"/>
              <w:rPr>
                <w:rFonts w:ascii="Times New Roman" w:hAnsi="Times New Roman" w:eastAsia="方正仿宋简体" w:cs="Times New Roman"/>
                <w:color w:val="auto"/>
                <w:lang w:eastAsia="zh-CN"/>
              </w:rPr>
            </w:pPr>
            <w:r>
              <w:rPr>
                <w:rFonts w:ascii="Times New Roman" w:hAnsi="Times New Roman" w:eastAsia="方正仿宋简体" w:cs="Times New Roman"/>
                <w:color w:val="auto"/>
                <w:lang w:eastAsia="zh-CN"/>
              </w:rPr>
              <w:t>9.20户以上较大自然村通客车比例</w:t>
            </w:r>
          </w:p>
        </w:tc>
        <w:tc>
          <w:tcPr>
            <w:tcW w:w="709"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c>
          <w:tcPr>
            <w:tcW w:w="468" w:type="pct"/>
            <w:noWrap/>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80</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预期性</w:t>
            </w:r>
          </w:p>
        </w:tc>
        <w:tc>
          <w:tcPr>
            <w:tcW w:w="468"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100</w:t>
            </w:r>
          </w:p>
        </w:tc>
        <w:tc>
          <w:tcPr>
            <w:tcW w:w="851" w:type="pct"/>
            <w:vAlign w:val="center"/>
          </w:tcPr>
          <w:p>
            <w:pPr>
              <w:pStyle w:val="93"/>
              <w:spacing w:line="260" w:lineRule="exact"/>
              <w:rPr>
                <w:rFonts w:ascii="Times New Roman" w:hAnsi="Times New Roman" w:eastAsia="方正仿宋简体" w:cs="Times New Roman"/>
                <w:color w:val="auto"/>
              </w:rPr>
            </w:pPr>
            <w:r>
              <w:rPr>
                <w:rFonts w:ascii="Times New Roman" w:hAnsi="Times New Roman" w:eastAsia="方正仿宋简体" w:cs="Times New Roman"/>
                <w:color w:val="auto"/>
              </w:rPr>
              <w:t>-</w:t>
            </w:r>
          </w:p>
        </w:tc>
      </w:tr>
      <w:bookmarkEnd w:id="22"/>
    </w:tbl>
    <w:p>
      <w:pPr>
        <w:ind w:firstLine="640"/>
        <w:rPr>
          <w:rFonts w:ascii="仿宋" w:hAnsi="仿宋"/>
          <w:sz w:val="32"/>
          <w:szCs w:val="32"/>
        </w:rPr>
        <w:sectPr>
          <w:pgSz w:w="11906" w:h="16838"/>
          <w:pgMar w:top="1440" w:right="1800" w:bottom="1440" w:left="1800" w:header="851" w:footer="992" w:gutter="0"/>
          <w:cols w:space="425" w:num="1"/>
          <w:docGrid w:type="lines" w:linePitch="312" w:charSpace="0"/>
        </w:sectPr>
      </w:pPr>
    </w:p>
    <w:p>
      <w:pPr>
        <w:pStyle w:val="2"/>
        <w:keepNext w:val="0"/>
        <w:keepLines w:val="0"/>
        <w:spacing w:line="570" w:lineRule="exact"/>
        <w:textAlignment w:val="auto"/>
        <w:rPr>
          <w:rFonts w:ascii="Times New Roman" w:hAnsi="Times New Roman" w:eastAsia="方正小标宋简体"/>
          <w:b w:val="0"/>
          <w:sz w:val="44"/>
        </w:rPr>
      </w:pPr>
      <w:bookmarkStart w:id="29" w:name="_Toc117693186"/>
      <w:r>
        <w:rPr>
          <w:rFonts w:hint="eastAsia" w:ascii="Times New Roman" w:hAnsi="Times New Roman" w:eastAsia="方正小标宋简体"/>
          <w:b w:val="0"/>
          <w:sz w:val="44"/>
        </w:rPr>
        <w:t>第三章 构建外联</w:t>
      </w:r>
      <w:r>
        <w:rPr>
          <w:rFonts w:ascii="Times New Roman" w:hAnsi="Times New Roman" w:eastAsia="方正小标宋简体"/>
          <w:b w:val="0"/>
          <w:sz w:val="44"/>
        </w:rPr>
        <w:t>内畅的</w:t>
      </w:r>
      <w:r>
        <w:rPr>
          <w:rFonts w:hint="eastAsia" w:ascii="Times New Roman" w:hAnsi="Times New Roman" w:eastAsia="方正小标宋简体"/>
          <w:b w:val="0"/>
          <w:sz w:val="44"/>
        </w:rPr>
        <w:t>综合</w:t>
      </w:r>
      <w:r>
        <w:rPr>
          <w:rFonts w:ascii="Times New Roman" w:hAnsi="Times New Roman" w:eastAsia="方正小标宋简体"/>
          <w:b w:val="0"/>
          <w:sz w:val="44"/>
        </w:rPr>
        <w:t>立体交通网</w:t>
      </w:r>
      <w:bookmarkEnd w:id="29"/>
    </w:p>
    <w:p>
      <w:pPr>
        <w:spacing w:line="590" w:lineRule="exact"/>
        <w:ind w:firstLine="560"/>
      </w:pPr>
    </w:p>
    <w:p>
      <w:pPr>
        <w:pStyle w:val="3"/>
        <w:keepNext w:val="0"/>
        <w:keepLines w:val="0"/>
        <w:widowControl w:val="0"/>
        <w:adjustRightInd w:val="0"/>
        <w:snapToGrid w:val="0"/>
        <w:spacing w:before="0" w:after="0" w:line="590" w:lineRule="exact"/>
        <w:jc w:val="center"/>
        <w:rPr>
          <w:rFonts w:ascii="黑体" w:hAnsi="黑体" w:eastAsia="楷体"/>
          <w:b w:val="0"/>
          <w:bCs w:val="0"/>
          <w:kern w:val="0"/>
          <w:szCs w:val="20"/>
        </w:rPr>
      </w:pPr>
      <w:bookmarkStart w:id="30" w:name="_Toc117693187"/>
      <w:r>
        <w:rPr>
          <w:rFonts w:hint="eastAsia" w:ascii="黑体" w:hAnsi="黑体"/>
          <w:b w:val="0"/>
          <w:bCs w:val="0"/>
          <w:kern w:val="0"/>
          <w:szCs w:val="20"/>
        </w:rPr>
        <w:t>第一节 构建高</w:t>
      </w:r>
      <w:r>
        <w:rPr>
          <w:rFonts w:ascii="黑体" w:hAnsi="黑体"/>
          <w:b w:val="0"/>
          <w:bCs w:val="0"/>
          <w:kern w:val="0"/>
          <w:szCs w:val="20"/>
        </w:rPr>
        <w:t>效率</w:t>
      </w:r>
      <w:r>
        <w:rPr>
          <w:rFonts w:hint="eastAsia" w:ascii="黑体" w:hAnsi="黑体"/>
          <w:b w:val="0"/>
          <w:bCs w:val="0"/>
          <w:kern w:val="0"/>
          <w:szCs w:val="20"/>
        </w:rPr>
        <w:t>的</w:t>
      </w:r>
      <w:r>
        <w:rPr>
          <w:rFonts w:ascii="黑体" w:hAnsi="黑体"/>
          <w:b w:val="0"/>
          <w:bCs w:val="0"/>
          <w:kern w:val="0"/>
          <w:szCs w:val="20"/>
        </w:rPr>
        <w:t>对外交通网络</w:t>
      </w:r>
      <w:bookmarkEnd w:id="30"/>
    </w:p>
    <w:p>
      <w:pPr>
        <w:pStyle w:val="6"/>
        <w:adjustRightInd w:val="0"/>
        <w:snapToGrid w:val="0"/>
        <w:spacing w:line="590" w:lineRule="exact"/>
        <w:ind w:firstLine="640"/>
        <w:rPr>
          <w:rFonts w:eastAsia="方正仿宋简体"/>
          <w:color w:val="auto"/>
          <w:sz w:val="32"/>
        </w:rPr>
      </w:pPr>
      <w:bookmarkStart w:id="31" w:name="_Hlk95492585"/>
      <w:r>
        <w:rPr>
          <w:rFonts w:hint="eastAsia" w:eastAsia="方正仿宋简体"/>
          <w:color w:val="auto"/>
          <w:sz w:val="32"/>
        </w:rPr>
        <w:t>阳东区对外交通网络，是由“两纵一横”高快速铁路网、“三纵三横”高速公路网、航道网、航空网络组成，构成了阳东快速联通粤港澳大湾区中心城市、北部湾城市群以及海南自贸区的 “一节点四联通”型区域性综合运输大通道，主要突出对外出行快速、便捷、高效、立体的特点，增加人流、物流、信息流、资金流的集聚和辐射。</w:t>
      </w:r>
    </w:p>
    <w:bookmarkEnd w:id="31"/>
    <w:p>
      <w:pPr>
        <w:pStyle w:val="4"/>
        <w:keepNext w:val="0"/>
        <w:keepLines w:val="0"/>
        <w:widowControl w:val="0"/>
        <w:adjustRightInd w:val="0"/>
        <w:snapToGrid w:val="0"/>
        <w:spacing w:before="0" w:after="0" w:line="590" w:lineRule="exact"/>
        <w:ind w:firstLine="640"/>
        <w:jc w:val="both"/>
        <w:rPr>
          <w:rFonts w:eastAsia="方正楷体简体"/>
          <w:b w:val="0"/>
          <w:bCs w:val="0"/>
        </w:rPr>
      </w:pPr>
      <w:r>
        <w:rPr>
          <w:rFonts w:hint="eastAsia" w:eastAsia="方正楷体简体"/>
          <w:b w:val="0"/>
          <w:bCs w:val="0"/>
        </w:rPr>
        <w:t>（一）综合运输通道布局规划</w:t>
      </w:r>
    </w:p>
    <w:p>
      <w:pPr>
        <w:pStyle w:val="6"/>
        <w:adjustRightInd w:val="0"/>
        <w:snapToGrid w:val="0"/>
        <w:spacing w:line="590" w:lineRule="exact"/>
        <w:ind w:firstLine="640"/>
        <w:rPr>
          <w:rFonts w:eastAsia="方正仿宋简体"/>
          <w:color w:val="auto"/>
          <w:sz w:val="32"/>
        </w:rPr>
      </w:pPr>
      <w:r>
        <w:rPr>
          <w:rFonts w:hint="eastAsia" w:eastAsia="方正仿宋简体"/>
          <w:color w:val="auto"/>
          <w:sz w:val="32"/>
        </w:rPr>
        <w:t>基于阳东新时代发展诉求与“桥头堡”区位优势，按照阳东深度“融湾”发展要求，综合考虑阳东未来产业布局、城镇发展、交通需求特征、与周边区域经济联系强度等情况，充分对接广东省综合立体交通网规划“三横六纵两联”通道布局，以及阳江市综合交通运输体系中长期发展规划“一支点四联通”通道布局，规划提出未来总体形成以阳东为重要交通节点，快速联通广佛极核、深港珠澳极核、湛江海口极核和南宁极核的“</w:t>
      </w:r>
      <w:bookmarkStart w:id="32" w:name="_Hlk95400189"/>
      <w:r>
        <w:rPr>
          <w:rFonts w:hint="eastAsia" w:eastAsia="方正仿宋简体"/>
          <w:color w:val="auto"/>
          <w:sz w:val="32"/>
        </w:rPr>
        <w:t>一节点四联通</w:t>
      </w:r>
      <w:bookmarkEnd w:id="32"/>
      <w:r>
        <w:rPr>
          <w:rFonts w:hint="eastAsia" w:eastAsia="方正仿宋简体"/>
          <w:color w:val="auto"/>
          <w:sz w:val="32"/>
        </w:rPr>
        <w:t>”型区域性综合运输大通道布局，支撑引领阳东深度“融湾”迈出新步伐。</w:t>
      </w:r>
    </w:p>
    <w:tbl>
      <w:tblPr>
        <w:tblStyle w:val="6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240" w:lineRule="auto"/>
              <w:ind w:firstLine="0" w:firstLineChars="0"/>
              <w:jc w:val="center"/>
              <w:rPr>
                <w:rFonts w:ascii="黑体" w:hAnsi="黑体" w:eastAsia="方正小标宋简体" w:cs="宋体"/>
                <w:szCs w:val="28"/>
              </w:rPr>
            </w:pPr>
            <w:r>
              <w:rPr>
                <w:rFonts w:hint="eastAsia" w:ascii="黑体" w:hAnsi="黑体" w:eastAsia="方正小标宋简体" w:cs="宋体"/>
                <w:szCs w:val="28"/>
              </w:rPr>
              <w:t>专栏二 阳东区综合运输通道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adjustRightInd w:val="0"/>
              <w:snapToGrid w:val="0"/>
              <w:spacing w:line="520" w:lineRule="exact"/>
              <w:ind w:firstLine="562"/>
              <w:jc w:val="both"/>
              <w:rPr>
                <w:rFonts w:eastAsia="方正仿宋简体"/>
                <w:szCs w:val="28"/>
                <w:lang w:bidi="ar"/>
              </w:rPr>
            </w:pPr>
            <w:r>
              <w:rPr>
                <w:rFonts w:hint="eastAsia" w:eastAsia="方正仿宋简体"/>
                <w:b/>
                <w:bCs/>
                <w:szCs w:val="28"/>
                <w:lang w:bidi="ar"/>
              </w:rPr>
              <w:t>通道一：广佛-江门-阳东通道。</w:t>
            </w:r>
            <w:r>
              <w:rPr>
                <w:rFonts w:hint="eastAsia" w:eastAsia="方正仿宋简体"/>
                <w:szCs w:val="28"/>
                <w:lang w:bidi="ar"/>
              </w:rPr>
              <w:t>连接粤港澳大湾区核心城市广州及</w:t>
            </w:r>
            <w:r>
              <w:rPr>
                <w:rFonts w:eastAsia="方正仿宋简体"/>
                <w:szCs w:val="28"/>
                <w:lang w:bidi="ar"/>
              </w:rPr>
              <w:t>重要节点城市</w:t>
            </w:r>
            <w:r>
              <w:rPr>
                <w:rFonts w:hint="eastAsia" w:eastAsia="方正仿宋简体"/>
                <w:szCs w:val="28"/>
                <w:lang w:bidi="ar"/>
              </w:rPr>
              <w:t>佛山、江门的重要通道。主要由深茂铁路、广湛高铁、沈海高速公路、高明至阳东高速公路、国道G325等组成。</w:t>
            </w:r>
          </w:p>
          <w:p>
            <w:pPr>
              <w:widowControl w:val="0"/>
              <w:adjustRightInd w:val="0"/>
              <w:snapToGrid w:val="0"/>
              <w:spacing w:line="520" w:lineRule="exact"/>
              <w:ind w:firstLine="562"/>
              <w:jc w:val="both"/>
              <w:rPr>
                <w:rFonts w:eastAsia="方正仿宋简体"/>
                <w:szCs w:val="28"/>
                <w:lang w:bidi="ar"/>
              </w:rPr>
            </w:pPr>
            <w:r>
              <w:rPr>
                <w:rFonts w:hint="eastAsia" w:eastAsia="方正仿宋简体"/>
                <w:b/>
                <w:bCs/>
                <w:szCs w:val="28"/>
                <w:lang w:bidi="ar"/>
              </w:rPr>
              <w:t>通道二：深港-珠澳-中山</w:t>
            </w:r>
            <w:r>
              <w:rPr>
                <w:rFonts w:eastAsia="方正仿宋简体"/>
                <w:b/>
                <w:bCs/>
                <w:szCs w:val="28"/>
                <w:lang w:bidi="ar"/>
              </w:rPr>
              <w:t>-</w:t>
            </w:r>
            <w:r>
              <w:rPr>
                <w:rFonts w:hint="eastAsia" w:eastAsia="方正仿宋简体"/>
                <w:b/>
                <w:bCs/>
                <w:szCs w:val="28"/>
                <w:lang w:bidi="ar"/>
              </w:rPr>
              <w:t>珠海-阳东通道。</w:t>
            </w:r>
            <w:r>
              <w:rPr>
                <w:rFonts w:hint="eastAsia" w:eastAsia="方正仿宋简体"/>
                <w:szCs w:val="28"/>
                <w:lang w:bidi="ar"/>
              </w:rPr>
              <w:t>连接粤港澳大湾区核心城市深圳</w:t>
            </w:r>
            <w:r>
              <w:rPr>
                <w:rFonts w:eastAsia="方正仿宋简体"/>
                <w:szCs w:val="28"/>
                <w:lang w:bidi="ar"/>
              </w:rPr>
              <w:t>及重要节点城市</w:t>
            </w:r>
            <w:r>
              <w:rPr>
                <w:rFonts w:hint="eastAsia" w:eastAsia="方正仿宋简体"/>
                <w:szCs w:val="28"/>
                <w:lang w:bidi="ar"/>
              </w:rPr>
              <w:t>珠海、江门、中山的重要通道。主要由珠海至阳江高铁、深茂铁路等、西部沿海高速公路、深圳至南宁高速公路、广东滨海旅游公路、国道G</w:t>
            </w:r>
            <w:r>
              <w:rPr>
                <w:rFonts w:eastAsia="方正仿宋简体"/>
                <w:szCs w:val="28"/>
                <w:lang w:bidi="ar"/>
              </w:rPr>
              <w:t>228</w:t>
            </w:r>
            <w:r>
              <w:rPr>
                <w:rFonts w:hint="eastAsia" w:eastAsia="方正仿宋简体"/>
                <w:szCs w:val="28"/>
                <w:lang w:bidi="ar"/>
              </w:rPr>
              <w:t>、国道G</w:t>
            </w:r>
            <w:r>
              <w:rPr>
                <w:rFonts w:eastAsia="方正仿宋简体"/>
                <w:szCs w:val="28"/>
                <w:lang w:bidi="ar"/>
              </w:rPr>
              <w:t>325</w:t>
            </w:r>
            <w:r>
              <w:rPr>
                <w:rFonts w:hint="eastAsia" w:eastAsia="方正仿宋简体"/>
                <w:szCs w:val="28"/>
                <w:lang w:bidi="ar"/>
              </w:rPr>
              <w:t>等组成。</w:t>
            </w:r>
          </w:p>
          <w:p>
            <w:pPr>
              <w:widowControl w:val="0"/>
              <w:adjustRightInd w:val="0"/>
              <w:snapToGrid w:val="0"/>
              <w:spacing w:line="520" w:lineRule="exact"/>
              <w:ind w:firstLine="562"/>
              <w:jc w:val="both"/>
              <w:rPr>
                <w:rFonts w:eastAsia="方正仿宋简体"/>
                <w:szCs w:val="28"/>
                <w:lang w:bidi="ar"/>
              </w:rPr>
            </w:pPr>
            <w:r>
              <w:rPr>
                <w:rFonts w:hint="eastAsia" w:eastAsia="方正仿宋简体"/>
                <w:b/>
                <w:bCs/>
                <w:szCs w:val="28"/>
                <w:lang w:bidi="ar"/>
              </w:rPr>
              <w:t>通道三：阳东-阳江市区-茂名-湛江-海口通道。</w:t>
            </w:r>
            <w:r>
              <w:rPr>
                <w:rFonts w:hint="eastAsia" w:eastAsia="方正仿宋简体"/>
                <w:szCs w:val="28"/>
                <w:lang w:bidi="ar"/>
              </w:rPr>
              <w:t>连接阳江市区、北部湾城市群重要节点城市茂名、湛江、海口的重要通道。主要由深茂铁路、广湛高铁等、阳茂湛滨海城际等、沈海高速公路、西部沿海高速阳江南联络线、国道G</w:t>
            </w:r>
            <w:r>
              <w:rPr>
                <w:rFonts w:eastAsia="方正仿宋简体"/>
                <w:szCs w:val="28"/>
                <w:lang w:bidi="ar"/>
              </w:rPr>
              <w:t>228</w:t>
            </w:r>
            <w:r>
              <w:rPr>
                <w:rFonts w:hint="eastAsia" w:eastAsia="方正仿宋简体"/>
                <w:szCs w:val="28"/>
                <w:lang w:bidi="ar"/>
              </w:rPr>
              <w:t>等组成。</w:t>
            </w:r>
          </w:p>
          <w:p>
            <w:pPr>
              <w:widowControl w:val="0"/>
              <w:adjustRightInd w:val="0"/>
              <w:snapToGrid w:val="0"/>
              <w:spacing w:line="520" w:lineRule="exact"/>
              <w:ind w:firstLine="562"/>
              <w:jc w:val="both"/>
              <w:rPr>
                <w:b/>
              </w:rPr>
            </w:pPr>
            <w:r>
              <w:rPr>
                <w:rFonts w:hint="eastAsia" w:eastAsia="方正仿宋简体"/>
                <w:b/>
                <w:bCs/>
                <w:szCs w:val="28"/>
                <w:lang w:bidi="ar"/>
              </w:rPr>
              <w:t>通道四：阳东-玉林</w:t>
            </w:r>
            <w:r>
              <w:rPr>
                <w:rFonts w:eastAsia="方正仿宋简体"/>
                <w:b/>
                <w:bCs/>
                <w:szCs w:val="28"/>
                <w:lang w:bidi="ar"/>
              </w:rPr>
              <w:t>-</w:t>
            </w:r>
            <w:r>
              <w:rPr>
                <w:rFonts w:hint="eastAsia" w:eastAsia="方正仿宋简体"/>
                <w:b/>
                <w:bCs/>
                <w:szCs w:val="28"/>
                <w:lang w:bidi="ar"/>
              </w:rPr>
              <w:t>南宁通道。</w:t>
            </w:r>
            <w:r>
              <w:rPr>
                <w:rFonts w:hint="eastAsia" w:eastAsia="方正仿宋简体"/>
                <w:szCs w:val="28"/>
                <w:lang w:bidi="ar"/>
              </w:rPr>
              <w:t>连接北部湾城市群核心城市南宁及重要节点城市玉林的重要通道。主要由阳阳铁路等、深圳至南宁高速公路、国道G</w:t>
            </w:r>
            <w:r>
              <w:rPr>
                <w:rFonts w:eastAsia="方正仿宋简体"/>
                <w:szCs w:val="28"/>
                <w:lang w:bidi="ar"/>
              </w:rPr>
              <w:t>325</w:t>
            </w:r>
            <w:r>
              <w:rPr>
                <w:rFonts w:hint="eastAsia" w:eastAsia="方正仿宋简体"/>
                <w:szCs w:val="28"/>
                <w:lang w:bidi="ar"/>
              </w:rPr>
              <w:t>、国道G</w:t>
            </w:r>
            <w:r>
              <w:rPr>
                <w:rFonts w:eastAsia="方正仿宋简体"/>
                <w:szCs w:val="28"/>
                <w:lang w:bidi="ar"/>
              </w:rPr>
              <w:t>234</w:t>
            </w:r>
            <w:r>
              <w:rPr>
                <w:rFonts w:hint="eastAsia" w:eastAsia="方正仿宋简体"/>
                <w:szCs w:val="28"/>
                <w:lang w:bidi="ar"/>
              </w:rPr>
              <w:t>等组成。</w:t>
            </w:r>
          </w:p>
        </w:tc>
      </w:tr>
    </w:tbl>
    <w:p>
      <w:pPr>
        <w:spacing w:line="360" w:lineRule="auto"/>
        <w:ind w:firstLine="198" w:firstLineChars="62"/>
        <w:jc w:val="center"/>
        <w:rPr>
          <w:rFonts w:ascii="仿宋" w:hAnsi="仿宋"/>
          <w:sz w:val="32"/>
          <w:szCs w:val="32"/>
        </w:rPr>
      </w:pPr>
      <w:r>
        <w:rPr>
          <w:rFonts w:ascii="仿宋" w:hAnsi="仿宋"/>
          <w:sz w:val="32"/>
          <w:szCs w:val="32"/>
        </w:rPr>
        <w:drawing>
          <wp:inline distT="0" distB="0" distL="0" distR="0">
            <wp:extent cx="4175760" cy="2948940"/>
            <wp:effectExtent l="0" t="0" r="0" b="381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25" cstate="print">
                      <a:extLst>
                        <a:ext uri="{28A0092B-C50C-407E-A947-70E740481C1C}">
                          <a14:useLocalDpi xmlns:a14="http://schemas.microsoft.com/office/drawing/2010/main" val="false"/>
                        </a:ext>
                      </a:extLst>
                    </a:blip>
                    <a:srcRect/>
                    <a:stretch>
                      <a:fillRect/>
                    </a:stretch>
                  </pic:blipFill>
                  <pic:spPr>
                    <a:xfrm>
                      <a:off x="0" y="0"/>
                      <a:ext cx="4221993" cy="2981725"/>
                    </a:xfrm>
                    <a:prstGeom prst="rect">
                      <a:avLst/>
                    </a:prstGeom>
                    <a:noFill/>
                    <a:ln>
                      <a:noFill/>
                    </a:ln>
                  </pic:spPr>
                </pic:pic>
              </a:graphicData>
            </a:graphic>
          </wp:inline>
        </w:drawing>
      </w:r>
    </w:p>
    <w:p>
      <w:pPr>
        <w:pStyle w:val="90"/>
        <w:widowControl w:val="0"/>
        <w:adjustRightInd w:val="0"/>
        <w:snapToGrid w:val="0"/>
        <w:ind w:firstLine="0" w:firstLineChars="0"/>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图1</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阳东区综合运输通道布局示意图</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（二）高速铁路布局规划</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高速铁路是阳江及阳东对外联系粤港澳大湾区、海南自贸区、北部湾城市群及全国其他城市的交通骨架。布局方案应遵循国家、省颁布的上一层规划及研究方案，在现状深茂铁路基础上，规划阳东境内高快速铁路总体形成“两纵一横”布局。积极主动配合推进广湛高铁各项工作，力争早日建设通车；积极参与谋划深珠江阳高铁（赣深高铁西延），重点做好阳东境内通道控制预留，并科学谋划境内设站，带动阳东城市及经济发展。</w:t>
      </w:r>
    </w:p>
    <w:tbl>
      <w:tblPr>
        <w:tblStyle w:val="6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240" w:lineRule="auto"/>
              <w:ind w:firstLine="0" w:firstLineChars="0"/>
              <w:jc w:val="center"/>
              <w:rPr>
                <w:rFonts w:eastAsia="方正小标宋简体"/>
                <w:sz w:val="32"/>
              </w:rPr>
            </w:pPr>
            <w:r>
              <w:rPr>
                <w:rFonts w:hint="eastAsia" w:ascii="黑体" w:hAnsi="黑体" w:eastAsia="方正小标宋简体" w:cs="宋体"/>
                <w:szCs w:val="28"/>
              </w:rPr>
              <w:t>专栏三 阳东区高速铁路布局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纵一：深茂铁路。</w:t>
            </w:r>
            <w:r>
              <w:rPr>
                <w:rFonts w:hint="eastAsia" w:hAnsi="方正仿宋简体" w:eastAsia="方正仿宋简体"/>
                <w:szCs w:val="28"/>
                <w:lang w:bidi="ar"/>
              </w:rPr>
              <w:t>深茂铁路现状设计速度为200公里/小时，远期为350公里/小时，为国家I级双线电气化铁路，兼备客货运输功能。线路起于深圳，途经东莞、广州、中山、江门、阳江，终于茂名，全长约390公里，分为江茂段和深江段，其中江茂段已于2</w:t>
            </w:r>
            <w:r>
              <w:rPr>
                <w:rFonts w:hAnsi="方正仿宋简体" w:eastAsia="方正仿宋简体"/>
                <w:szCs w:val="28"/>
                <w:lang w:bidi="ar"/>
              </w:rPr>
              <w:t>018</w:t>
            </w:r>
            <w:r>
              <w:rPr>
                <w:rFonts w:hint="eastAsia" w:hAnsi="方正仿宋简体" w:eastAsia="方正仿宋简体"/>
                <w:szCs w:val="28"/>
                <w:lang w:bidi="ar"/>
              </w:rPr>
              <w:t>年建成通车，深江段预计于2024年建成通车。深茂铁路阳东段是江茂段的重要组成部分，全长约3</w:t>
            </w:r>
            <w:r>
              <w:rPr>
                <w:rFonts w:hAnsi="方正仿宋简体" w:eastAsia="方正仿宋简体"/>
                <w:szCs w:val="28"/>
                <w:lang w:bidi="ar"/>
              </w:rPr>
              <w:t>4</w:t>
            </w:r>
            <w:r>
              <w:rPr>
                <w:rFonts w:hint="eastAsia" w:hAnsi="方正仿宋简体" w:eastAsia="方正仿宋简体"/>
                <w:szCs w:val="28"/>
                <w:lang w:bidi="ar"/>
              </w:rPr>
              <w:t>公里，设阳东站。</w:t>
            </w:r>
          </w:p>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纵二：广湛高铁。</w:t>
            </w:r>
            <w:r>
              <w:rPr>
                <w:rFonts w:hint="eastAsia" w:hAnsi="方正仿宋简体" w:eastAsia="方正仿宋简体"/>
                <w:szCs w:val="28"/>
                <w:lang w:bidi="ar"/>
              </w:rPr>
              <w:t>广湛铁路设计速度为350公里</w:t>
            </w:r>
            <w:r>
              <w:rPr>
                <w:rFonts w:hAnsi="方正仿宋简体" w:eastAsia="方正仿宋简体"/>
                <w:szCs w:val="28"/>
                <w:lang w:bidi="ar"/>
              </w:rPr>
              <w:t>/</w:t>
            </w:r>
            <w:r>
              <w:rPr>
                <w:rFonts w:hint="eastAsia" w:hAnsi="方正仿宋简体" w:eastAsia="方正仿宋简体"/>
                <w:szCs w:val="28"/>
                <w:lang w:bidi="ar"/>
              </w:rPr>
              <w:t>小时，为国家I级双线电气化铁路，属于新建客运专线。线路起于广州，途经佛山、肇庆、云浮、阳江、茂名，终于湛江，全线约44</w:t>
            </w:r>
            <w:r>
              <w:rPr>
                <w:rFonts w:hAnsi="方正仿宋简体" w:eastAsia="方正仿宋简体"/>
                <w:szCs w:val="28"/>
                <w:lang w:bidi="ar"/>
              </w:rPr>
              <w:t>9</w:t>
            </w:r>
            <w:r>
              <w:rPr>
                <w:rFonts w:hint="eastAsia" w:hAnsi="方正仿宋简体" w:eastAsia="方正仿宋简体"/>
                <w:szCs w:val="28"/>
                <w:lang w:bidi="ar"/>
              </w:rPr>
              <w:t>公里，正线约400公里。其中，广湛高铁阳东段约2</w:t>
            </w:r>
            <w:r>
              <w:rPr>
                <w:rFonts w:hAnsi="方正仿宋简体" w:eastAsia="方正仿宋简体"/>
                <w:szCs w:val="28"/>
                <w:lang w:bidi="ar"/>
              </w:rPr>
              <w:t>8</w:t>
            </w:r>
            <w:r>
              <w:rPr>
                <w:rFonts w:hint="eastAsia" w:hAnsi="方正仿宋简体" w:eastAsia="方正仿宋简体"/>
                <w:szCs w:val="28"/>
                <w:lang w:bidi="ar"/>
              </w:rPr>
              <w:t>公里，力争2</w:t>
            </w:r>
            <w:r>
              <w:rPr>
                <w:rFonts w:hAnsi="方正仿宋简体" w:eastAsia="方正仿宋简体"/>
                <w:szCs w:val="28"/>
                <w:lang w:bidi="ar"/>
              </w:rPr>
              <w:t>024</w:t>
            </w:r>
            <w:r>
              <w:rPr>
                <w:rFonts w:hint="eastAsia" w:hAnsi="方正仿宋简体" w:eastAsia="方正仿宋简体"/>
                <w:szCs w:val="28"/>
                <w:lang w:bidi="ar"/>
              </w:rPr>
              <w:t>年建成通车。</w:t>
            </w:r>
          </w:p>
          <w:p>
            <w:pPr>
              <w:widowControl w:val="0"/>
              <w:spacing w:line="400" w:lineRule="exact"/>
              <w:ind w:firstLine="562"/>
              <w:jc w:val="both"/>
              <w:rPr>
                <w:b/>
              </w:rPr>
            </w:pPr>
            <w:r>
              <w:rPr>
                <w:rFonts w:hint="eastAsia" w:hAnsi="方正仿宋简体" w:eastAsia="方正仿宋简体"/>
                <w:b/>
                <w:bCs/>
                <w:szCs w:val="28"/>
                <w:lang w:bidi="ar"/>
              </w:rPr>
              <w:t>横一</w:t>
            </w:r>
            <w:r>
              <w:rPr>
                <w:rFonts w:hAnsi="方正仿宋简体" w:eastAsia="方正仿宋简体"/>
                <w:b/>
                <w:bCs/>
                <w:szCs w:val="28"/>
                <w:lang w:bidi="ar"/>
              </w:rPr>
              <w:t>：珠海</w:t>
            </w:r>
            <w:r>
              <w:rPr>
                <w:rFonts w:hint="eastAsia" w:hAnsi="方正仿宋简体" w:eastAsia="方正仿宋简体"/>
                <w:b/>
                <w:bCs/>
                <w:szCs w:val="28"/>
                <w:lang w:bidi="ar"/>
              </w:rPr>
              <w:t>至阳江高铁。</w:t>
            </w:r>
            <w:r>
              <w:rPr>
                <w:rFonts w:hint="eastAsia" w:hAnsi="方正仿宋简体" w:eastAsia="方正仿宋简体"/>
                <w:szCs w:val="28"/>
                <w:lang w:bidi="ar"/>
              </w:rPr>
              <w:t>珠海至阳江高铁设计速度为350公里</w:t>
            </w:r>
            <w:r>
              <w:rPr>
                <w:rFonts w:hAnsi="方正仿宋简体" w:eastAsia="方正仿宋简体"/>
                <w:szCs w:val="28"/>
                <w:lang w:bidi="ar"/>
              </w:rPr>
              <w:t>/</w:t>
            </w:r>
            <w:r>
              <w:rPr>
                <w:rFonts w:hint="eastAsia" w:hAnsi="方正仿宋简体" w:eastAsia="方正仿宋简体"/>
                <w:szCs w:val="28"/>
                <w:lang w:bidi="ar"/>
              </w:rPr>
              <w:t>小时，为国家I级双线电气化铁路，属于新建客运专线。珠海至阳江高铁起于深圳，途经珠海、江门，终于阳江，并预留接入阳江北站。珠海至阳江高铁阳东段里程约</w:t>
            </w:r>
            <w:r>
              <w:rPr>
                <w:rFonts w:hAnsi="方正仿宋简体" w:eastAsia="方正仿宋简体"/>
                <w:szCs w:val="28"/>
                <w:lang w:bidi="ar"/>
              </w:rPr>
              <w:t>58</w:t>
            </w:r>
            <w:r>
              <w:rPr>
                <w:rFonts w:hint="eastAsia" w:hAnsi="方正仿宋简体" w:eastAsia="方正仿宋简体"/>
                <w:szCs w:val="28"/>
                <w:lang w:bidi="ar"/>
              </w:rPr>
              <w:t>公里，谋划接入现有阳东站，争取纳入上层铁路网规划，打造横向高铁大通道，为阳东提供铁路客运服务，辐射带动各组团联动发展，促进产业升级，为承接大湾区的产业转移提供有力保障。</w:t>
            </w:r>
          </w:p>
        </w:tc>
      </w:tr>
    </w:tbl>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（三）高速公路布局规划</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高速公路是阳东公路网的主骨架，是承担阳东区过境交通、对外出行、城市组团之间联系的主要快速通道，是区域重要枢纽（机场、高铁站、港口、客货站场、物流园）的主要集散通道，是快速连接区域发展战略平台、产业园区、产业集群，引导和优化产业布局的发展轴线，也是通达旅游景区的“快进”旅游交通网的重要组成部分。根据国家、省、市既有相关规划，阳东区境内高速公路布局形态为</w:t>
      </w:r>
      <w:bookmarkStart w:id="33" w:name="_Hlk95983064"/>
      <w:r>
        <w:rPr>
          <w:rFonts w:hint="eastAsia" w:eastAsia="方正仿宋简体"/>
          <w:color w:val="auto"/>
          <w:sz w:val="32"/>
        </w:rPr>
        <w:t>“三纵三横”布</w:t>
      </w:r>
      <w:bookmarkEnd w:id="33"/>
      <w:r>
        <w:rPr>
          <w:rFonts w:hint="eastAsia" w:eastAsia="方正仿宋简体"/>
          <w:color w:val="auto"/>
          <w:sz w:val="32"/>
        </w:rPr>
        <w:t>局，总里程约</w:t>
      </w:r>
      <w:r>
        <w:rPr>
          <w:rFonts w:eastAsia="方正仿宋简体"/>
          <w:color w:val="auto"/>
          <w:sz w:val="32"/>
        </w:rPr>
        <w:t>228</w:t>
      </w:r>
      <w:r>
        <w:rPr>
          <w:rFonts w:hint="eastAsia" w:eastAsia="方正仿宋简体"/>
          <w:color w:val="auto"/>
          <w:sz w:val="32"/>
        </w:rPr>
        <w:t>公里，其中新增里程约</w:t>
      </w:r>
      <w:r>
        <w:rPr>
          <w:rFonts w:eastAsia="方正仿宋简体"/>
          <w:color w:val="auto"/>
          <w:sz w:val="32"/>
        </w:rPr>
        <w:t>121</w:t>
      </w:r>
      <w:r>
        <w:rPr>
          <w:rFonts w:hint="eastAsia" w:eastAsia="方正仿宋简体"/>
          <w:color w:val="auto"/>
          <w:sz w:val="32"/>
        </w:rPr>
        <w:t>公里。</w:t>
      </w:r>
    </w:p>
    <w:tbl>
      <w:tblPr>
        <w:tblStyle w:val="6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widowControl w:val="0"/>
              <w:spacing w:line="240" w:lineRule="auto"/>
              <w:ind w:firstLine="0" w:firstLineChars="0"/>
              <w:jc w:val="center"/>
              <w:rPr>
                <w:rFonts w:eastAsia="方正小标宋简体"/>
                <w:sz w:val="32"/>
              </w:rPr>
            </w:pPr>
            <w:r>
              <w:rPr>
                <w:rFonts w:hint="eastAsia" w:ascii="黑体" w:hAnsi="黑体" w:eastAsia="方正小标宋简体" w:cs="宋体"/>
                <w:szCs w:val="28"/>
              </w:rPr>
              <w:t>专栏四 阳东区高速公路布局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4" w:hRule="atLeast"/>
          <w:jc w:val="center"/>
        </w:trPr>
        <w:tc>
          <w:tcPr>
            <w:tcW w:w="8296" w:type="dxa"/>
            <w:vAlign w:val="center"/>
          </w:tcPr>
          <w:p>
            <w:pPr>
              <w:widowControl w:val="0"/>
              <w:spacing w:line="480" w:lineRule="exact"/>
              <w:ind w:firstLine="562"/>
              <w:jc w:val="left"/>
              <w:rPr>
                <w:rFonts w:eastAsia="方正仿宋简体"/>
                <w:szCs w:val="28"/>
                <w:lang w:bidi="ar"/>
              </w:rPr>
            </w:pPr>
            <w:r>
              <w:rPr>
                <w:rFonts w:eastAsia="方正仿宋简体"/>
                <w:b/>
                <w:bCs/>
                <w:szCs w:val="28"/>
                <w:lang w:bidi="ar"/>
              </w:rPr>
              <w:t>三纵：</w:t>
            </w:r>
            <w:r>
              <w:rPr>
                <w:rFonts w:eastAsia="方正仿宋简体"/>
                <w:szCs w:val="28"/>
                <w:lang w:bidi="ar"/>
              </w:rPr>
              <w:t>一纵：阳阳高速公路，阳东境内段总里程约6公里，对接广州、佛山；二纵：西部沿海高速公路（支线）、高明至阳东高速公路，西部沿海高速公路（支线）阳东境内段总里程约14公里，高明至阳东高速公路阳东境内段总里程约35公里，对接广州、佛山；三纵：沈海高速公路阳东支线，阳东境内段总里程约37公里，是阳东横向通道间重要转换通道。</w:t>
            </w:r>
          </w:p>
          <w:p>
            <w:pPr>
              <w:widowControl w:val="0"/>
              <w:spacing w:line="480" w:lineRule="exact"/>
              <w:ind w:firstLine="562"/>
              <w:jc w:val="left"/>
              <w:rPr>
                <w:rFonts w:hAnsi="方正仿宋简体" w:eastAsia="方正仿宋简体"/>
                <w:szCs w:val="28"/>
                <w:lang w:bidi="ar"/>
              </w:rPr>
            </w:pPr>
            <w:r>
              <w:rPr>
                <w:rFonts w:eastAsia="方正仿宋简体"/>
                <w:b/>
                <w:bCs/>
                <w:szCs w:val="28"/>
                <w:lang w:bidi="ar"/>
              </w:rPr>
              <w:t>三横：</w:t>
            </w:r>
            <w:r>
              <w:rPr>
                <w:rFonts w:eastAsia="方正仿宋简体"/>
                <w:szCs w:val="28"/>
                <w:lang w:bidi="ar"/>
              </w:rPr>
              <w:t>一横：珠海至阳江高速公路，阳东境内段总里程约42公里，直接连通江门恩平、阳江江城，对接深圳、南宁；二横：沈海高速公路，阳东境内段总里程约43公里，直接连通江门恩平、阳江江城，对接广州、湛江、海口；三横：西部沿海高速公路（主线）、西部沿海高速公路阳江南联络线，西部沿海高速公路（主线）阳东境内段总里程约44公里，西部沿海高速公路阳江南联络线阳东境内段总里程约7公里，直接连通江门台山、阳江江城，对接香港、澳门、珠海、湛江。</w:t>
            </w:r>
          </w:p>
        </w:tc>
      </w:tr>
    </w:tbl>
    <w:p>
      <w:pPr>
        <w:pStyle w:val="4"/>
        <w:keepNext w:val="0"/>
        <w:keepLines w:val="0"/>
        <w:widowControl w:val="0"/>
        <w:adjustRightInd w:val="0"/>
        <w:snapToGrid w:val="0"/>
        <w:spacing w:before="0" w:after="0" w:line="520" w:lineRule="exact"/>
        <w:ind w:firstLine="640"/>
        <w:jc w:val="both"/>
        <w:rPr>
          <w:rFonts w:eastAsia="方正楷体简体"/>
          <w:b w:val="0"/>
          <w:bCs w:val="0"/>
        </w:rPr>
      </w:pPr>
      <w:r>
        <w:rPr>
          <w:rFonts w:hint="eastAsia" w:eastAsia="方正楷体简体"/>
          <w:b w:val="0"/>
          <w:bCs w:val="0"/>
        </w:rPr>
        <w:t>（四）港航体系规划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w:t>
      </w:r>
      <w:r>
        <w:rPr>
          <w:rFonts w:eastAsia="方正仿宋简体"/>
          <w:color w:val="auto"/>
          <w:sz w:val="32"/>
        </w:rPr>
        <w:t>1</w:t>
      </w:r>
      <w:r>
        <w:rPr>
          <w:rFonts w:hint="eastAsia" w:eastAsia="方正仿宋简体"/>
          <w:color w:val="auto"/>
          <w:sz w:val="32"/>
        </w:rPr>
        <w:t>）港口发展规划</w:t>
      </w:r>
    </w:p>
    <w:p>
      <w:pPr>
        <w:pStyle w:val="6"/>
        <w:adjustRightInd w:val="0"/>
        <w:snapToGrid w:val="0"/>
        <w:spacing w:line="520" w:lineRule="exact"/>
        <w:ind w:firstLine="643"/>
        <w:rPr>
          <w:rFonts w:eastAsia="方正仿宋简体"/>
          <w:b/>
          <w:bCs/>
          <w:color w:val="auto"/>
          <w:sz w:val="32"/>
        </w:rPr>
      </w:pPr>
      <w:r>
        <w:rPr>
          <w:rFonts w:hint="eastAsia" w:eastAsia="方正仿宋简体"/>
          <w:b/>
          <w:bCs/>
          <w:color w:val="auto"/>
          <w:sz w:val="32"/>
        </w:rPr>
        <w:t>东平港发展规划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按国家级中心渔港标准升级东平渔港，以水产品和特色农产品为主的冷链物流体系建设,改善和提升东平港的泊位、货场和入港道路等硬件设施。引导小规模港口的货源向东平港，逐步实现货运港的规模经济,发挥中心渔港的渔业服务和带动作用，逐步推动东平港成为地区渔业交通枢纽。结合沿海旅游风光带，兼顾旅游客运和公共交通，合理布局玉豚山海湾等旅游观光码头和停靠点，优化航线布置，适时开通从东平镇到阳江市、海陵、闸坡的客运航线。</w:t>
      </w:r>
    </w:p>
    <w:p>
      <w:pPr>
        <w:pStyle w:val="6"/>
        <w:adjustRightInd w:val="0"/>
        <w:snapToGrid w:val="0"/>
        <w:spacing w:line="520" w:lineRule="exact"/>
        <w:ind w:firstLine="643"/>
        <w:rPr>
          <w:rFonts w:eastAsia="方正仿宋简体"/>
          <w:b/>
          <w:bCs/>
          <w:color w:val="auto"/>
          <w:sz w:val="32"/>
        </w:rPr>
      </w:pPr>
      <w:r>
        <w:rPr>
          <w:rFonts w:hint="eastAsia" w:eastAsia="方正仿宋简体"/>
          <w:b/>
          <w:bCs/>
          <w:color w:val="auto"/>
          <w:sz w:val="32"/>
        </w:rPr>
        <w:t>北津港发展规划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围绕将北津港片区建设成为以装备制造、新能源产业为主，配套港口物流功能的阳江东部临港产业园区,加快推进北津港升级改造工程,同步完善北津港片区综合开发建设配套交通基础设施项目,充分发挥北津港口在物流供应链上下游作用，打造临港产业发达、港区功能齐全、辐射能力强的阳江东部港口物流中心。</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沿北津港西向岸线升级改造现有北津渔港，打造成为国家一级渔港，并根据阳东区犁头咀商业区的开发定位，沿北津港西向岸线规划建设中小型游艇泊位，积极发展休闲渔业旅游项目。</w:t>
      </w:r>
    </w:p>
    <w:p>
      <w:pPr>
        <w:pStyle w:val="6"/>
        <w:adjustRightInd w:val="0"/>
        <w:snapToGrid w:val="0"/>
        <w:spacing w:line="520" w:lineRule="exact"/>
        <w:ind w:firstLine="643"/>
        <w:rPr>
          <w:rFonts w:eastAsia="方正仿宋简体"/>
          <w:b/>
          <w:bCs/>
          <w:color w:val="auto"/>
          <w:sz w:val="32"/>
        </w:rPr>
      </w:pPr>
      <w:r>
        <w:rPr>
          <w:rFonts w:hint="eastAsia" w:eastAsia="方正仿宋简体"/>
          <w:b/>
          <w:bCs/>
          <w:color w:val="auto"/>
          <w:sz w:val="32"/>
        </w:rPr>
        <w:t>港口集疏运规划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完善港口多式联运基础设施，加强港口集疏运体系建设。</w:t>
      </w:r>
    </w:p>
    <w:p>
      <w:pPr>
        <w:pStyle w:val="6"/>
        <w:adjustRightInd w:val="0"/>
        <w:snapToGrid w:val="0"/>
        <w:spacing w:line="520" w:lineRule="exact"/>
        <w:ind w:firstLine="643"/>
        <w:rPr>
          <w:rFonts w:eastAsia="方正仿宋简体"/>
          <w:color w:val="auto"/>
          <w:sz w:val="32"/>
        </w:rPr>
      </w:pPr>
      <w:r>
        <w:rPr>
          <w:rFonts w:hint="eastAsia" w:eastAsia="方正仿宋简体"/>
          <w:b/>
          <w:bCs/>
          <w:color w:val="auto"/>
          <w:sz w:val="32"/>
        </w:rPr>
        <w:t>东平港：</w:t>
      </w:r>
      <w:r>
        <w:rPr>
          <w:rFonts w:hint="eastAsia" w:eastAsia="方正仿宋简体"/>
          <w:color w:val="auto"/>
          <w:sz w:val="32"/>
        </w:rPr>
        <w:t>规划建设的疏港公路主要有沈海高速阳东支线、广东滨海旅游公路（东平至雅韶段）、国道</w:t>
      </w:r>
      <w:r>
        <w:rPr>
          <w:rFonts w:eastAsia="方正仿宋简体"/>
          <w:color w:val="auto"/>
          <w:sz w:val="32"/>
        </w:rPr>
        <w:t>G228</w:t>
      </w:r>
      <w:r>
        <w:rPr>
          <w:rFonts w:hint="eastAsia" w:eastAsia="方正仿宋简体"/>
          <w:color w:val="auto"/>
          <w:sz w:val="32"/>
        </w:rPr>
        <w:t>、省道</w:t>
      </w:r>
      <w:r>
        <w:rPr>
          <w:rFonts w:eastAsia="方正仿宋简体"/>
          <w:color w:val="auto"/>
          <w:sz w:val="32"/>
        </w:rPr>
        <w:t>S276</w:t>
      </w:r>
      <w:r>
        <w:rPr>
          <w:rFonts w:hint="eastAsia" w:eastAsia="方正仿宋简体"/>
          <w:color w:val="auto"/>
          <w:sz w:val="32"/>
        </w:rPr>
        <w:t>（新洲龙潭至阳江核电站段）。</w:t>
      </w:r>
    </w:p>
    <w:p>
      <w:pPr>
        <w:pStyle w:val="6"/>
        <w:adjustRightInd w:val="0"/>
        <w:snapToGrid w:val="0"/>
        <w:spacing w:line="520" w:lineRule="exact"/>
        <w:ind w:firstLine="643"/>
        <w:rPr>
          <w:rFonts w:eastAsia="方正仿宋简体"/>
          <w:color w:val="auto"/>
          <w:sz w:val="32"/>
        </w:rPr>
      </w:pPr>
      <w:r>
        <w:rPr>
          <w:rFonts w:hint="eastAsia" w:eastAsia="方正仿宋简体"/>
          <w:b/>
          <w:bCs/>
          <w:color w:val="auto"/>
          <w:sz w:val="32"/>
        </w:rPr>
        <w:t>北津港：</w:t>
      </w:r>
      <w:bookmarkStart w:id="34" w:name="_Hlk126140735"/>
      <w:r>
        <w:rPr>
          <w:rFonts w:hint="eastAsia" w:eastAsia="方正仿宋简体"/>
          <w:color w:val="auto"/>
          <w:sz w:val="32"/>
        </w:rPr>
        <w:t>规划建设的疏港公路主要有西部沿海高速、县道</w:t>
      </w:r>
      <w:r>
        <w:rPr>
          <w:rFonts w:eastAsia="方正仿宋简体"/>
          <w:color w:val="auto"/>
          <w:sz w:val="32"/>
        </w:rPr>
        <w:t>X598</w:t>
      </w:r>
      <w:r>
        <w:rPr>
          <w:rFonts w:hint="eastAsia" w:eastAsia="方正仿宋简体"/>
          <w:color w:val="auto"/>
          <w:sz w:val="32"/>
        </w:rPr>
        <w:t>、国道</w:t>
      </w:r>
      <w:r>
        <w:rPr>
          <w:rFonts w:eastAsia="方正仿宋简体"/>
          <w:color w:val="auto"/>
          <w:sz w:val="32"/>
        </w:rPr>
        <w:t>G228</w:t>
      </w:r>
      <w:r>
        <w:rPr>
          <w:rFonts w:hint="eastAsia" w:eastAsia="方正仿宋简体"/>
          <w:color w:val="auto"/>
          <w:sz w:val="32"/>
        </w:rPr>
        <w:t>、广东滨海旅游公路、阳东大道、新江台大道南延线（谋划）等。</w:t>
      </w:r>
      <w:bookmarkEnd w:id="34"/>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阳东城区通往北津港南北快速通道。阳东城区至沿海高速雅韶出口连接公路（二期）建设项目是连通阳东城区与北津港的快速通道，对缩短阳东城区、江城等地与北津港距离，该项目建设，有利于提升北津港功能定位，促进北津港片区经济旅游业等发展起到极大的推动作用。</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北津港片区进港公路升级和市政道路配套设施项目。片区内交通基础设施项目主要包括将现有进港三级公路，升级改造改扩建为一级公路、片区内市政道路等。</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w:t>
      </w:r>
      <w:r>
        <w:rPr>
          <w:rFonts w:eastAsia="方正仿宋简体"/>
          <w:color w:val="auto"/>
          <w:sz w:val="32"/>
        </w:rPr>
        <w:t>3</w:t>
      </w:r>
      <w:r>
        <w:rPr>
          <w:rFonts w:hint="eastAsia" w:eastAsia="方正仿宋简体"/>
          <w:color w:val="auto"/>
          <w:sz w:val="32"/>
        </w:rPr>
        <w:t>）航道网规划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沿海航道方面，共规划沿海航道共5条（其中北津航道共两段），里程约142.8公里，包括北津航道、寿长航道、寿长东航道、东平航道、北漭航道。其中，重要航道共1条，约23.5公里；一般航道共5条，约119.3公里。</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内河航道网方面，共规划内河航道共4条，包括漠阳江1、那龙河1、漠阳江西河2、那龙河2，里程约49公里。其中，重要航道共2条，约14公里；一般航道共2条，约35公里。</w:t>
      </w:r>
    </w:p>
    <w:p>
      <w:pPr>
        <w:pStyle w:val="4"/>
        <w:keepNext w:val="0"/>
        <w:keepLines w:val="0"/>
        <w:widowControl w:val="0"/>
        <w:adjustRightInd w:val="0"/>
        <w:snapToGrid w:val="0"/>
        <w:spacing w:before="0" w:after="0" w:line="520" w:lineRule="exact"/>
        <w:ind w:firstLine="640"/>
        <w:jc w:val="both"/>
        <w:rPr>
          <w:rFonts w:eastAsia="方正楷体简体"/>
          <w:b w:val="0"/>
          <w:bCs w:val="0"/>
        </w:rPr>
      </w:pPr>
      <w:r>
        <w:rPr>
          <w:rFonts w:hint="eastAsia" w:eastAsia="方正楷体简体"/>
          <w:b w:val="0"/>
          <w:bCs w:val="0"/>
        </w:rPr>
        <w:t>（五）航空网络规划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民用航空方面，规划形成阳东与珠三角枢纽（广州新）机场、珠海金湾机场等区域机场的快速通道，加快建成广湛高铁，提前谋划深圳至阳江高铁、珠海至阳江高速、高明至阳东高速等，通过轨道交通实现阳东3</w:t>
      </w:r>
      <w:r>
        <w:rPr>
          <w:rFonts w:eastAsia="方正仿宋简体"/>
          <w:color w:val="auto"/>
          <w:sz w:val="32"/>
        </w:rPr>
        <w:t>0</w:t>
      </w:r>
      <w:r>
        <w:rPr>
          <w:rFonts w:hint="eastAsia" w:eastAsia="方正仿宋简体"/>
          <w:color w:val="auto"/>
          <w:sz w:val="32"/>
        </w:rPr>
        <w:t>分钟通达珠三角枢纽（广州新）机场，9</w:t>
      </w:r>
      <w:r>
        <w:rPr>
          <w:rFonts w:eastAsia="方正仿宋简体"/>
          <w:color w:val="auto"/>
          <w:sz w:val="32"/>
        </w:rPr>
        <w:t>0</w:t>
      </w:r>
      <w:r>
        <w:rPr>
          <w:rFonts w:hint="eastAsia" w:eastAsia="方正仿宋简体"/>
          <w:color w:val="auto"/>
          <w:sz w:val="32"/>
        </w:rPr>
        <w:t>分钟内通达湾区其他干线机场。基于阳江规划新建的阳江机场，要强化阳东与阳江机场的交通衔接，规划阳东与阳江机场高效衔接的多通道干线体系；通过增设区域公交线路，实现城区与阳江机场的公交化通达；依托阳东主要客运站枢纽设立候机点并开设固定班次的机场大巴班线，实现阳江机场与阳东各乡镇客运枢纽的快速衔接。</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通用航空方面，阳东目前已有通用机场阳江合山机场，合山机场作为广东省第一个地级城市所有的通用航空机场，规划未来加快推进其改扩建工程，积极完善相关通用航空基础设施建设，打造华南地区通用航空标杆。《广东省通用机场布局规划（2020-2035年）》提出2020-2035年要加快通用航空产业发展，提升航空公共服务能力的需要，满足航空服务结构升级的需要。拟定合山机场发展规划，争取开通更多省内和省际航线，满足短途航空客运和货运需求。着力引进有实力的战略合作伙伴，发挥机场在航空培训、航空旅游、航空维护、通航运营、航测航拍、抢险救援等方面的功能作用，借助2500km</w:t>
      </w:r>
      <w:r>
        <w:rPr>
          <w:rFonts w:eastAsia="方正仿宋简体" w:cs="Cambria"/>
          <w:color w:val="auto"/>
          <w:sz w:val="32"/>
        </w:rPr>
        <w:t>²</w:t>
      </w:r>
      <w:r>
        <w:rPr>
          <w:rFonts w:hint="eastAsia" w:eastAsia="方正仿宋简体" w:cs="方正仿宋简体"/>
          <w:color w:val="auto"/>
          <w:sz w:val="32"/>
        </w:rPr>
        <w:t>的空域资源和周边土地，发展低空经济产业</w:t>
      </w:r>
      <w:r>
        <w:rPr>
          <w:rFonts w:hint="eastAsia" w:eastAsia="方正仿宋简体"/>
          <w:color w:val="auto"/>
          <w:sz w:val="32"/>
        </w:rPr>
        <w:t>。</w:t>
      </w:r>
      <w:bookmarkStart w:id="35" w:name="_Toc117693188"/>
    </w:p>
    <w:p>
      <w:pPr>
        <w:pStyle w:val="3"/>
        <w:keepNext w:val="0"/>
        <w:keepLines w:val="0"/>
        <w:widowControl w:val="0"/>
        <w:adjustRightInd w:val="0"/>
        <w:snapToGrid w:val="0"/>
        <w:spacing w:before="0" w:after="0" w:line="590" w:lineRule="exact"/>
        <w:jc w:val="center"/>
        <w:rPr>
          <w:rFonts w:ascii="黑体" w:hAnsi="黑体" w:eastAsia="楷体"/>
          <w:b w:val="0"/>
          <w:bCs w:val="0"/>
          <w:kern w:val="0"/>
          <w:szCs w:val="20"/>
        </w:rPr>
      </w:pPr>
      <w:r>
        <w:rPr>
          <w:rFonts w:hint="eastAsia" w:ascii="黑体" w:hAnsi="黑体"/>
          <w:b w:val="0"/>
          <w:bCs w:val="0"/>
          <w:kern w:val="0"/>
          <w:szCs w:val="20"/>
        </w:rPr>
        <w:t>第二节 构建</w:t>
      </w:r>
      <w:r>
        <w:rPr>
          <w:rFonts w:ascii="黑体" w:hAnsi="黑体"/>
          <w:b w:val="0"/>
          <w:bCs w:val="0"/>
          <w:kern w:val="0"/>
          <w:szCs w:val="20"/>
        </w:rPr>
        <w:t>一体化</w:t>
      </w:r>
      <w:r>
        <w:rPr>
          <w:rFonts w:hint="eastAsia" w:ascii="黑体" w:hAnsi="黑体"/>
          <w:b w:val="0"/>
          <w:bCs w:val="0"/>
          <w:kern w:val="0"/>
          <w:szCs w:val="20"/>
        </w:rPr>
        <w:t>的同城交通网络</w:t>
      </w:r>
      <w:bookmarkEnd w:id="35"/>
    </w:p>
    <w:p>
      <w:pPr>
        <w:pStyle w:val="6"/>
        <w:adjustRightInd w:val="0"/>
        <w:snapToGrid w:val="0"/>
        <w:spacing w:line="580" w:lineRule="exact"/>
        <w:ind w:firstLine="640"/>
        <w:rPr>
          <w:rFonts w:eastAsia="方正仿宋简体"/>
          <w:color w:val="auto"/>
          <w:sz w:val="32"/>
        </w:rPr>
      </w:pPr>
      <w:r>
        <w:rPr>
          <w:rFonts w:hint="eastAsia" w:eastAsia="方正仿宋简体"/>
          <w:color w:val="auto"/>
          <w:sz w:val="32"/>
        </w:rPr>
        <w:t>同城交通网络，是由城市轨道交通网、城区快速路网组成，主要突出阳东城区与阳江市区交通一体化发展，强化阳东城区与江城一体化发展区域、阳东中部产城融合带、阳东副中心合山镇、枢纽（阳江站、阳东站、合山机场）等重要经济节点和交通节点的交通衔接和组织能力。</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（一）城市轨道交通网络布局规划</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落实《阳江市城市综合交通规划》《阳江市城市公共交通专项规划》《阳江市综合交通运输体系中长期发展规划（2018-2035年）》等既有上位相关规划，结合阳东区未来发展诉求和实际情况，规划阳茂湛滨海城际和城市轨道2号线，具体轨道制式建议在下阶段条件成熟时予以确定。</w:t>
      </w:r>
    </w:p>
    <w:tbl>
      <w:tblPr>
        <w:tblStyle w:val="6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240" w:lineRule="auto"/>
              <w:ind w:firstLine="0" w:firstLineChars="0"/>
              <w:jc w:val="center"/>
              <w:rPr>
                <w:rFonts w:eastAsia="方正仿宋简体"/>
                <w:sz w:val="32"/>
              </w:rPr>
            </w:pPr>
            <w:r>
              <w:rPr>
                <w:rFonts w:hint="eastAsia" w:ascii="黑体" w:hAnsi="黑体" w:eastAsia="黑体" w:cs="宋体"/>
                <w:szCs w:val="28"/>
              </w:rPr>
              <w:t>专栏五</w:t>
            </w:r>
            <w:r>
              <w:rPr>
                <w:rFonts w:ascii="黑体" w:hAnsi="黑体" w:eastAsia="黑体" w:cs="宋体"/>
                <w:szCs w:val="28"/>
              </w:rPr>
              <w:t xml:space="preserve"> </w:t>
            </w:r>
            <w:r>
              <w:rPr>
                <w:rFonts w:hint="eastAsia" w:ascii="黑体" w:hAnsi="黑体" w:eastAsia="黑体" w:cs="宋体"/>
                <w:szCs w:val="28"/>
              </w:rPr>
              <w:t>阳东区城市轨道交通网络布局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1" w:hRule="atLeast"/>
        </w:trPr>
        <w:tc>
          <w:tcPr>
            <w:tcW w:w="8296" w:type="dxa"/>
            <w:vAlign w:val="center"/>
          </w:tcPr>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阳茂湛滨海城际：</w:t>
            </w:r>
            <w:r>
              <w:rPr>
                <w:rFonts w:hint="eastAsia" w:hAnsi="方正仿宋简体" w:eastAsia="方正仿宋简体"/>
                <w:szCs w:val="28"/>
                <w:lang w:bidi="ar"/>
              </w:rPr>
              <w:t>阳茂湛滨海城际连通阳东与阳江、湛江、茂名沿线重要城市和节点，实现</w:t>
            </w:r>
            <w:r>
              <w:rPr>
                <w:rFonts w:hAnsi="方正仿宋简体" w:eastAsia="方正仿宋简体"/>
                <w:szCs w:val="28"/>
                <w:lang w:bidi="ar"/>
              </w:rPr>
              <w:t>1小时通达三市中心城区及主要交通枢纽，承担串联粤西城镇群内各滨海新城及主要旅游节点的快捷通道功能；是阳江市滨海新城开发建设，推动全市的滨海旅游开发的重要支撑；是带动广东沿海经济带综合发展的重要依托；是推动珠江口西岸都市圈一体化的重要抓手</w:t>
            </w:r>
            <w:r>
              <w:rPr>
                <w:rFonts w:hint="eastAsia" w:hAnsi="方正仿宋简体" w:eastAsia="方正仿宋简体"/>
                <w:szCs w:val="28"/>
                <w:lang w:bidi="ar"/>
              </w:rPr>
              <w:t>。阳东境内里程为</w:t>
            </w:r>
            <w:r>
              <w:rPr>
                <w:rFonts w:hAnsi="方正仿宋简体" w:eastAsia="方正仿宋简体"/>
                <w:szCs w:val="28"/>
                <w:lang w:bidi="ar"/>
              </w:rPr>
              <w:t>37</w:t>
            </w:r>
            <w:r>
              <w:rPr>
                <w:rFonts w:hint="eastAsia" w:hAnsi="方正仿宋简体" w:eastAsia="方正仿宋简体"/>
                <w:szCs w:val="28"/>
                <w:lang w:bidi="ar"/>
              </w:rPr>
              <w:t>公里，途经新洲镇、东平镇、大沟镇和雅韶镇。</w:t>
            </w:r>
          </w:p>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城市轨道</w:t>
            </w:r>
            <w:r>
              <w:rPr>
                <w:rFonts w:hAnsi="方正仿宋简体" w:eastAsia="方正仿宋简体"/>
                <w:b/>
                <w:bCs/>
                <w:szCs w:val="28"/>
                <w:lang w:bidi="ar"/>
              </w:rPr>
              <w:t>2号线</w:t>
            </w:r>
            <w:r>
              <w:rPr>
                <w:rFonts w:hint="eastAsia" w:hAnsi="方正仿宋简体" w:eastAsia="方正仿宋简体"/>
                <w:b/>
                <w:bCs/>
                <w:szCs w:val="28"/>
                <w:lang w:bidi="ar"/>
              </w:rPr>
              <w:t>：</w:t>
            </w:r>
            <w:r>
              <w:rPr>
                <w:rFonts w:hint="eastAsia" w:hAnsi="方正仿宋简体" w:eastAsia="方正仿宋简体"/>
                <w:szCs w:val="28"/>
                <w:lang w:bidi="ar"/>
              </w:rPr>
              <w:t>城市轨道2号线串联江城区白沙、中洲、城区及阳东区城区、北惯、合山等组团，覆盖主要通勤需求点，连接白沙站、阳东站、阳东客运站等对外枢纽；主要承担缓解中心城区东西向常态化交通拥堵功能；是加强阳东与中心城区、银岭组团等快速联系的重要依托；是缓解阳江市域东西交通走廊压力的重要支撑；是构建阳东现代化公交体系的重要抓手。阳东境内里程为</w:t>
            </w:r>
            <w:r>
              <w:rPr>
                <w:rFonts w:hAnsi="方正仿宋简体" w:eastAsia="方正仿宋简体"/>
                <w:szCs w:val="28"/>
                <w:lang w:bidi="ar"/>
              </w:rPr>
              <w:t>17</w:t>
            </w:r>
            <w:r>
              <w:rPr>
                <w:rFonts w:hint="eastAsia" w:hAnsi="方正仿宋简体" w:eastAsia="方正仿宋简体"/>
                <w:szCs w:val="28"/>
                <w:lang w:bidi="ar"/>
              </w:rPr>
              <w:t>公里，途经东城区、北惯镇和合山镇。</w:t>
            </w:r>
          </w:p>
        </w:tc>
      </w:tr>
    </w:tbl>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（二）城区快速干线网络布局规划</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鉴于阳江市区和阳东城区在空间上已经紧密连片，基于《阳江市综合交通运输体系中长期发展规划（2018-2035年）》提出的阳江城区打造“六横六纵”城区快速网络，结合阳东城市和产业发展战略，统筹城市干线公路规划建设、主干路与高速公路衔接,深入推进阳东城区与阳江市区交通无缝衔接，打通城市道路微循环，强化城区、园区、枢纽等重要节点的交通衔接和组织能力，规划阳东城区（规范范围拓展至江城区）构建“一环六射”的城区快速路网络。</w:t>
      </w:r>
    </w:p>
    <w:tbl>
      <w:tblPr>
        <w:tblStyle w:val="6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widowControl w:val="0"/>
              <w:spacing w:line="240" w:lineRule="auto"/>
              <w:ind w:firstLine="0" w:firstLineChars="0"/>
              <w:jc w:val="center"/>
              <w:rPr>
                <w:rFonts w:eastAsia="方正仿宋简体"/>
                <w:sz w:val="32"/>
              </w:rPr>
            </w:pPr>
            <w:r>
              <w:rPr>
                <w:rFonts w:hint="eastAsia" w:ascii="黑体" w:hAnsi="黑体" w:eastAsia="黑体" w:cs="宋体"/>
                <w:szCs w:val="28"/>
              </w:rPr>
              <w:t>专栏六</w:t>
            </w:r>
            <w:r>
              <w:rPr>
                <w:rFonts w:ascii="黑体" w:hAnsi="黑体" w:eastAsia="黑体" w:cs="宋体"/>
                <w:szCs w:val="28"/>
              </w:rPr>
              <w:t xml:space="preserve"> </w:t>
            </w:r>
            <w:r>
              <w:rPr>
                <w:rFonts w:hint="eastAsia" w:ascii="黑体" w:hAnsi="黑体" w:eastAsia="黑体" w:cs="宋体"/>
                <w:szCs w:val="28"/>
              </w:rPr>
              <w:t>阳东区“一环六射”城区快速路网络布局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widowControl w:val="0"/>
              <w:spacing w:line="460" w:lineRule="exact"/>
              <w:ind w:firstLine="562"/>
              <w:jc w:val="both"/>
              <w:rPr>
                <w:rFonts w:eastAsia="方正仿宋简体"/>
                <w:szCs w:val="28"/>
                <w:lang w:bidi="ar"/>
              </w:rPr>
            </w:pPr>
            <w:r>
              <w:rPr>
                <w:rFonts w:eastAsia="方正仿宋简体"/>
                <w:b/>
                <w:bCs/>
                <w:szCs w:val="28"/>
                <w:lang w:bidi="ar"/>
              </w:rPr>
              <w:t>环线：</w:t>
            </w:r>
            <w:r>
              <w:rPr>
                <w:rFonts w:eastAsia="方正仿宋简体"/>
                <w:szCs w:val="28"/>
                <w:lang w:bidi="ar"/>
              </w:rPr>
              <w:t>国道G325改线、国道G325北线、阳东大道、广东滨海旅游公路阳江雅韶至山外东段、西平路、金平路。强化阳东城区与江城一体化发展区域的区位优势，将其打造成为引领全区高质量发展、提升城市发展能级的核心区域。承担组织过境交通和城区对外快速交通等功能。</w:t>
            </w:r>
          </w:p>
          <w:p>
            <w:pPr>
              <w:widowControl w:val="0"/>
              <w:spacing w:line="460" w:lineRule="exact"/>
              <w:ind w:firstLine="562"/>
              <w:jc w:val="both"/>
              <w:rPr>
                <w:rFonts w:eastAsia="方正仿宋简体"/>
                <w:szCs w:val="28"/>
                <w:lang w:bidi="ar"/>
              </w:rPr>
            </w:pPr>
            <w:r>
              <w:rPr>
                <w:rFonts w:eastAsia="方正仿宋简体"/>
                <w:b/>
                <w:bCs/>
                <w:szCs w:val="28"/>
                <w:lang w:bidi="ar"/>
              </w:rPr>
              <w:t>一射：</w:t>
            </w:r>
            <w:r>
              <w:rPr>
                <w:rFonts w:eastAsia="方正仿宋简体"/>
                <w:szCs w:val="28"/>
                <w:lang w:bidi="ar"/>
              </w:rPr>
              <w:t>国道G325北线。环城高速北部横向快速通道，高效辐射阳东经济社会发展主轴带各组团的四条射线之一，形成产城高效联动的多通道快速体系，高效聚合中心城区、北惯、合山、那龙以及合山工业区、那龙生态工业园等，支撑阳东打造东部沿海产业高地，进一步增强经济建设“主战场”辐射带动能力。支撑阳东中部产城融合带与阳江中心城区一体化发展。</w:t>
            </w:r>
          </w:p>
          <w:p>
            <w:pPr>
              <w:widowControl w:val="0"/>
              <w:spacing w:line="460" w:lineRule="exact"/>
              <w:ind w:firstLine="562"/>
              <w:jc w:val="both"/>
              <w:rPr>
                <w:rFonts w:eastAsia="方正仿宋简体"/>
                <w:szCs w:val="28"/>
                <w:lang w:bidi="ar"/>
              </w:rPr>
            </w:pPr>
            <w:r>
              <w:rPr>
                <w:rFonts w:eastAsia="方正仿宋简体"/>
                <w:b/>
                <w:bCs/>
                <w:szCs w:val="28"/>
                <w:lang w:bidi="ar"/>
              </w:rPr>
              <w:t>二射：</w:t>
            </w:r>
            <w:r>
              <w:rPr>
                <w:rFonts w:eastAsia="方正仿宋简体"/>
                <w:szCs w:val="28"/>
                <w:lang w:bidi="ar"/>
              </w:rPr>
              <w:t>国道G325改线。环城高速北部横向快速通道，高效辐射阳东经济社会发展主轴带各组团的四条射线之一，形成产城高效联动的多通道快速体系，高效聚合中心城区、北惯、合山、那龙以及广东阳东经济开发区、合山工业区、那龙生态工业园等，支撑阳东打造东部沿海产业高地，进一步增强经济建设“主战场”辐射带动能力。支撑阳东中部产城融合带与阳江中心城区一体化发展。</w:t>
            </w:r>
          </w:p>
          <w:p>
            <w:pPr>
              <w:widowControl w:val="0"/>
              <w:spacing w:line="480" w:lineRule="exact"/>
              <w:ind w:firstLine="562"/>
              <w:jc w:val="both"/>
              <w:rPr>
                <w:rFonts w:eastAsia="方正仿宋简体"/>
                <w:szCs w:val="28"/>
                <w:lang w:bidi="ar"/>
              </w:rPr>
            </w:pPr>
            <w:r>
              <w:rPr>
                <w:rFonts w:eastAsia="方正仿宋简体"/>
                <w:b/>
                <w:bCs/>
                <w:szCs w:val="28"/>
                <w:lang w:bidi="ar"/>
              </w:rPr>
              <w:t>三射：</w:t>
            </w:r>
            <w:r>
              <w:rPr>
                <w:rFonts w:eastAsia="方正仿宋简体"/>
                <w:szCs w:val="28"/>
                <w:lang w:bidi="ar"/>
              </w:rPr>
              <w:t>漠江路、东风路、国道G325那龙高速出口至东城段。环城高速北部横向快速通道，高效辐射阳东经济社会发展主轴带各组团的四条射线之一，形成产城高效联动的多通道快速体系，高效聚合中心城区、北惯、合山、那龙以及广东阳东经济开发区、合山工业区、那龙生态工业园等，支撑阳东打造东部沿海产业高地，进一步增强经济建设“主战场”辐射带动能力。支撑阳东中部产城融合带与阳江中心城区一体化发展。</w:t>
            </w:r>
          </w:p>
          <w:p>
            <w:pPr>
              <w:widowControl w:val="0"/>
              <w:spacing w:line="480" w:lineRule="exact"/>
              <w:ind w:firstLine="562"/>
              <w:jc w:val="both"/>
              <w:rPr>
                <w:rFonts w:eastAsia="方正仿宋简体"/>
                <w:szCs w:val="28"/>
                <w:lang w:bidi="ar"/>
              </w:rPr>
            </w:pPr>
            <w:r>
              <w:rPr>
                <w:rFonts w:eastAsia="方正仿宋简体"/>
                <w:b/>
                <w:bCs/>
                <w:szCs w:val="28"/>
                <w:lang w:bidi="ar"/>
              </w:rPr>
              <w:t>四射：</w:t>
            </w:r>
            <w:r>
              <w:rPr>
                <w:rFonts w:eastAsia="方正仿宋简体"/>
                <w:szCs w:val="28"/>
                <w:lang w:bidi="ar"/>
              </w:rPr>
              <w:t>省道S276线深茂铁路阳东站至阳东广雅路（华科国际）段。环城高速北部横向快速通道，高效辐射阳东经济社会发展主轴带各组团的四条射线之一，形成产城高效联动的多通道快速体系，高效聚合中心城区、北惯、合山、那龙以及广东阳东经济开发区、合山工业区、那龙生态工业园等，支撑阳东打造东部沿海产业高地，进一步增强经济建设“主战场”辐射带动能力。支撑阳东中部产城融合带与阳江中心城区一体化发展。</w:t>
            </w:r>
          </w:p>
          <w:p>
            <w:pPr>
              <w:widowControl w:val="0"/>
              <w:spacing w:line="480" w:lineRule="exact"/>
              <w:ind w:firstLine="562"/>
              <w:jc w:val="both"/>
              <w:rPr>
                <w:rFonts w:eastAsia="方正仿宋简体"/>
                <w:szCs w:val="28"/>
                <w:lang w:bidi="ar"/>
              </w:rPr>
            </w:pPr>
            <w:r>
              <w:rPr>
                <w:rFonts w:eastAsia="方正仿宋简体"/>
                <w:b/>
                <w:bCs/>
                <w:szCs w:val="28"/>
                <w:lang w:bidi="ar"/>
              </w:rPr>
              <w:t>五射：</w:t>
            </w:r>
            <w:r>
              <w:rPr>
                <w:rFonts w:eastAsia="方正仿宋简体"/>
                <w:szCs w:val="28"/>
                <w:lang w:bidi="ar"/>
              </w:rPr>
              <w:t>G228线那龙河大桥至雅韶段、G228雅白线雅韶至大沟段。环城高速南部横向快速通道，主要承担过境交通及城区南部横向城镇交通快速联系辐射功能，支撑南部海洋经济发展区快速发展。与环线构成支撑南北向陆海联通发展带的重要快速干线。</w:t>
            </w:r>
          </w:p>
          <w:p>
            <w:pPr>
              <w:widowControl w:val="0"/>
              <w:spacing w:line="480" w:lineRule="exact"/>
              <w:ind w:firstLine="562"/>
              <w:jc w:val="both"/>
              <w:rPr>
                <w:rFonts w:hAnsi="方正仿宋简体" w:eastAsia="方正仿宋简体"/>
                <w:szCs w:val="28"/>
                <w:lang w:bidi="ar"/>
              </w:rPr>
            </w:pPr>
            <w:r>
              <w:rPr>
                <w:rFonts w:eastAsia="方正仿宋简体"/>
                <w:b/>
                <w:bCs/>
                <w:szCs w:val="28"/>
                <w:lang w:bidi="ar"/>
              </w:rPr>
              <w:t>六射：</w:t>
            </w:r>
            <w:r>
              <w:rPr>
                <w:rFonts w:eastAsia="方正仿宋简体"/>
                <w:szCs w:val="28"/>
                <w:lang w:bidi="ar"/>
              </w:rPr>
              <w:t>广东滨海旅游公路阳江东平至雅韶段。主要承担滨海旅游快速集散功能，支撑阳东南部滨海旅游高质量发展。</w:t>
            </w:r>
          </w:p>
        </w:tc>
      </w:tr>
    </w:tbl>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36" w:name="_Toc117693189"/>
      <w:r>
        <w:rPr>
          <w:rFonts w:hint="eastAsia" w:ascii="黑体" w:hAnsi="黑体"/>
          <w:b w:val="0"/>
          <w:bCs w:val="0"/>
          <w:kern w:val="0"/>
          <w:szCs w:val="20"/>
        </w:rPr>
        <w:t>第三节 构建</w:t>
      </w:r>
      <w:r>
        <w:rPr>
          <w:rFonts w:ascii="黑体" w:hAnsi="黑体"/>
          <w:b w:val="0"/>
          <w:bCs w:val="0"/>
          <w:kern w:val="0"/>
          <w:szCs w:val="20"/>
        </w:rPr>
        <w:t>完善</w:t>
      </w:r>
      <w:r>
        <w:rPr>
          <w:rFonts w:hint="eastAsia" w:ascii="黑体" w:hAnsi="黑体"/>
          <w:b w:val="0"/>
          <w:bCs w:val="0"/>
          <w:kern w:val="0"/>
          <w:szCs w:val="20"/>
        </w:rPr>
        <w:t>的</w:t>
      </w:r>
      <w:r>
        <w:rPr>
          <w:rFonts w:ascii="黑体" w:hAnsi="黑体"/>
          <w:b w:val="0"/>
          <w:bCs w:val="0"/>
          <w:kern w:val="0"/>
          <w:szCs w:val="20"/>
        </w:rPr>
        <w:t>公路交通</w:t>
      </w:r>
      <w:r>
        <w:rPr>
          <w:rFonts w:hint="eastAsia" w:ascii="黑体" w:hAnsi="黑体"/>
          <w:b w:val="0"/>
          <w:bCs w:val="0"/>
          <w:kern w:val="0"/>
          <w:szCs w:val="20"/>
        </w:rPr>
        <w:t>网络</w:t>
      </w:r>
      <w:bookmarkEnd w:id="36"/>
    </w:p>
    <w:p>
      <w:pPr>
        <w:pStyle w:val="4"/>
        <w:keepNext w:val="0"/>
        <w:keepLines w:val="0"/>
        <w:widowControl w:val="0"/>
        <w:adjustRightInd w:val="0"/>
        <w:snapToGrid w:val="0"/>
        <w:spacing w:before="0" w:after="0" w:line="540" w:lineRule="exact"/>
        <w:ind w:firstLine="640"/>
        <w:jc w:val="both"/>
        <w:rPr>
          <w:rFonts w:eastAsia="方正楷体简体"/>
          <w:b w:val="0"/>
          <w:bCs w:val="0"/>
        </w:rPr>
      </w:pPr>
      <w:r>
        <w:rPr>
          <w:rFonts w:hint="eastAsia" w:eastAsia="方正楷体简体"/>
          <w:b w:val="0"/>
          <w:bCs w:val="0"/>
        </w:rPr>
        <w:t>（一）普通干线公路网络布局规划</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围绕阳东加快构建“一轴一带、一核三区”总体空间格局，规划阳东区域形成</w:t>
      </w:r>
      <w:bookmarkStart w:id="37" w:name="_Hlk95981704"/>
      <w:r>
        <w:rPr>
          <w:rFonts w:hint="eastAsia" w:eastAsia="方正仿宋简体"/>
          <w:color w:val="auto"/>
          <w:sz w:val="32"/>
        </w:rPr>
        <w:t>“五纵七横”的干线公路网络</w:t>
      </w:r>
      <w:bookmarkEnd w:id="37"/>
      <w:r>
        <w:rPr>
          <w:rFonts w:hint="eastAsia" w:eastAsia="方正仿宋简体"/>
          <w:color w:val="auto"/>
          <w:sz w:val="32"/>
        </w:rPr>
        <w:t>布局，实现主中心东城、副中心合山镇与重点镇（东平镇、北惯镇）以及</w:t>
      </w:r>
      <w:r>
        <w:rPr>
          <w:rFonts w:eastAsia="方正仿宋简体"/>
          <w:color w:val="auto"/>
          <w:sz w:val="32"/>
        </w:rPr>
        <w:t>7</w:t>
      </w:r>
      <w:r>
        <w:rPr>
          <w:rFonts w:hint="eastAsia" w:eastAsia="方正仿宋简体"/>
          <w:color w:val="auto"/>
          <w:sz w:val="32"/>
        </w:rPr>
        <w:t>个一般镇的高效联通，串联阳东主要交通和经济节点，推动产城融合、城乡一体、陆海统筹联动。</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阳东普通干线公路网由主干线路网和次干线路网构成。主干线公路网络合计里程约453公里，其中纵线约192公里，横线约278公里，重复里程约16公里。规划采用三级及以上公路技术标准，争取未来实现“镇镇通高速”的基础上，实现镇镇通二级及以上公路。次干线路网是由未纳入主干线的省道、县道组成，作为主干线的重要补充，规划采用三级及以上技术标准。</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纵一：江城至阳春，由G234组成。纵贯阳东西部，是阳东与阳江市区、阳春间的重要干线通道；阳东与江城区一体化发展的联系通道；承担阳江北站、阳江机场等区域交通枢纽的集疏运功能通道。</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纵二：新垌至雅韶，由省道S539、国道G325塘坪至红丰改线段、阳东城区至沿海高速雅韶出口连接公路等组成。路线纵贯阳东西部，南接阳东城区，北连阳春，是阳东与江城、阳春间的重要干线公路；串联阳东区大八、塘坪、红丰、东城、雅韶等重要城镇，增强区内各组团间的联系；承担阳春东站、阳江站等区域交通枢纽的集疏运功能通道。</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纵三：大八至雅韶，由县道X822、X598、省道S276、广东滨海旅游公路组成。路线纵贯阳东中西部，是阳东南部滨海与北部山区之间的纵向联系干线，承担“交通+旅游”的特色功能，是雅韶向海发展的重要支撑；串联阳东区大八、北惯、东城、雅韶等重要城镇，增强区内各组团间的联系；承担阳东站、阳江合山机场等区域交通枢纽的集疏运功能通道；大八、塘坪等北部山区与国家高速（沈海高速）出入口之间的联系干线。</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纵四：恩平那吉至东平，由省道S297、国道G228组成。路线纵贯阳东中东部，是阳东与粤港澳大湾区城市江门之间的联系干线，承担着湾区城市向阳东辐射的功能；城市副中心合山的重要纵向通道，串联合山、大沟、东平等重要城镇，增强区内各组团间的联系；阳东站、阳江合山机场等交通枢纽的集疏运通道；疏港作用，带动东平港口和旅游业发展。</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纵五：那龙至东平，由县道X826、X819、省道S276组成。路线纵贯阳东东部，城市副中心合山的重要纵向通道，串联东平、新洲、那龙、合山等重要城镇，增强区内各组团间的联系；阳江核电站对外疏散通道；阳东特色小镇新洲组团与阳东站、合山机场、沈海高速那龙出入口等交通节点之间的联系干线；串联起广东首批特色小镇新洲地热小镇、东平渔港、阳江温泉度假村等多个阳江知名旅游景点，承担旅游公路功能。</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横一：阳春岗美至那龙，由国道G325、省道S386。联系阳春与阳东的过境公路，承担阳东对外交通功能；阳东重点城镇塘坪与那龙之间的联系通道；促进阳东北部山区经济发展。</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横二：地朗至那龙，由县道X606、省道S276、国道G325改线、国道G325北线组成。阳东与粤港澳大湾区城市之间互联互通的首要干线通道之一，承担着湾区干线公路网向西辐射的功能；阳江机场、阳江北站、阳江合山机场等区域重要交通枢纽的主要集疏运通道；阳东与恩平、江城双捷之间，内部组团红丰、北惯、合山、那龙之间的重要联系干线，阳东城区与阳江市区一体化发展、城市副中心合山快速发展的重要支撑。</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横三：阳江市区至恩平大槐（市界），由国道G325改线组成。阳东与粤港澳大湾区城市之间互联互通的首要干线通道之一，承担着湾区干线公路网向西辐射的功能；阳东站、阳江合山机场、阳江北站等阳东区内重要交通枢纽的主要集疏运通道；阳东与恩平之间，内部组团东城、北惯、合山、那龙之间的重要联系干线，阳东城区与阳江市区一体化发展、城市副中心合山快速发展的重要支撑。</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横四：阳东东城至那龙（市界），由省道S276、县道X825组成。横向串联阳江市区、东城、北惯、合山、那龙、新洲等重要城镇，有力支撑阳东城区与阳江市区一体化发展；承担阳江市区通达粤港澳大湾区的过境交通，是对阳东对外交通功能的重要补充；沈海高速公路与西部沿海高速公路间的重要平行线，弥补二者之间横向交通的空白，强化东城、北惯、合山、那龙、新洲等内部组团的联系。</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横五：江城至新洲北桂，由省道S276、县道X595、X820组成。横向串联阳江市区及东城、北惯、大沟、新洲等重要城镇，有力支撑阳东城区与阳江市区一体化发展；阳江城区、阳东城区与广东首批特色小镇——新洲地热小镇之间联系干线，支撑沿线旅游发展。</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横六：雅韶至新洲，由国道G228、省道S276组成。阳东与粤港澳大湾区珠澳核心以及江门之间的重要联系干线，对阳东路网融入湾区公路网其中重要的衔接作用；横向串联阳江市区及雅韶、大沟、新洲等重要城镇，有力支撑阳东城区与阳江市区一体化发展；阳江站等阳东区内重要交通枢纽的主要集疏运通道；沿海经济带产业和滨海旅游发展的重要支撑。</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横七：滨海旅游公路阳东段。承担阳东滨海旅游发展的基础支撑功能；阳东东平与阳江市区之间的重要联系通道；特色旅游公路，打造阳东“山海泉湖，醉美阳东”旅游品牌的重要交通依托。</w:t>
      </w:r>
    </w:p>
    <w:p>
      <w:pPr>
        <w:pStyle w:val="4"/>
        <w:keepNext w:val="0"/>
        <w:keepLines w:val="0"/>
        <w:widowControl w:val="0"/>
        <w:adjustRightInd w:val="0"/>
        <w:snapToGrid w:val="0"/>
        <w:spacing w:before="0" w:after="0" w:line="530" w:lineRule="exact"/>
        <w:ind w:firstLine="640"/>
        <w:jc w:val="both"/>
        <w:rPr>
          <w:rFonts w:eastAsia="方正楷体简体"/>
          <w:b w:val="0"/>
          <w:bCs w:val="0"/>
        </w:rPr>
      </w:pPr>
      <w:r>
        <w:rPr>
          <w:rFonts w:hint="eastAsia" w:eastAsia="方正楷体简体"/>
          <w:b w:val="0"/>
          <w:bCs w:val="0"/>
        </w:rPr>
        <w:t>（二）与周边区县干线衔接规划</w:t>
      </w:r>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阳东东连台山、恩平市，西与阳江市江城区接壤，北接阳春市，通过对国道、省道和重要干线进行增量调整和存量升级，疏通干线公路的“瓶颈路段”，打通毗邻市、毗邻县、组团与组团、毗邻镇之间的“断头路”，构建阳东与周边县市区联系便捷、周边乡镇通达顺畅、规模适当、层次分明、布局合理、干支配合、四通八达的干线公路衔接网络。规划期末，阳东与周边相邻市县区将实现通道数量和通达时效双提升，半小时通达阳江城区，1小时内通达周边市县。与周边衔接主要通过高速公路和干线路网，将实现阳东与江城区联系干线达8条（增加2条），与阳春市联系干线达9条（增加5条），与恩平市联系干线达4条（增加1条），台山市联系干线达5条（增加1条）。</w:t>
      </w:r>
    </w:p>
    <w:tbl>
      <w:tblPr>
        <w:tblStyle w:val="6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ind w:firstLine="0" w:firstLineChars="0"/>
              <w:jc w:val="center"/>
              <w:rPr>
                <w:rFonts w:eastAsia="方正仿宋简体"/>
                <w:sz w:val="32"/>
              </w:rPr>
            </w:pPr>
            <w:r>
              <w:rPr>
                <w:rFonts w:hint="eastAsia" w:ascii="黑体" w:hAnsi="黑体" w:eastAsia="黑体" w:cs="宋体"/>
                <w:szCs w:val="28"/>
              </w:rPr>
              <w:t>专栏七</w:t>
            </w:r>
            <w:r>
              <w:rPr>
                <w:rFonts w:ascii="黑体" w:hAnsi="黑体" w:eastAsia="黑体" w:cs="宋体"/>
                <w:szCs w:val="28"/>
              </w:rPr>
              <w:t xml:space="preserve"> </w:t>
            </w:r>
            <w:r>
              <w:rPr>
                <w:rFonts w:hint="eastAsia" w:ascii="黑体" w:hAnsi="黑体" w:eastAsia="黑体" w:cs="宋体"/>
                <w:szCs w:val="28"/>
              </w:rPr>
              <w:t>阳东区与周边区县干线衔接通道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与江城区衔接：</w:t>
            </w:r>
            <w:r>
              <w:rPr>
                <w:rFonts w:hint="eastAsia" w:hAnsi="方正仿宋简体" w:eastAsia="方正仿宋简体"/>
                <w:szCs w:val="28"/>
                <w:lang w:bidi="ar"/>
              </w:rPr>
              <w:t>沈海高速公路、西部沿海高速公路、国道G228、国道G234、国道G325、县道X608、西部沿海高速阳江南联络线（新增）、广东滨海旅游公路（新增）。</w:t>
            </w:r>
          </w:p>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与恩平市衔接：</w:t>
            </w:r>
            <w:r>
              <w:rPr>
                <w:rFonts w:hint="eastAsia" w:hAnsi="方正仿宋简体" w:eastAsia="方正仿宋简体"/>
                <w:szCs w:val="28"/>
                <w:lang w:bidi="ar"/>
              </w:rPr>
              <w:t>沈海高速公路、国道G325（省道S386共线）、省道S297、珠海至阳江高速公路（新增）。</w:t>
            </w:r>
          </w:p>
          <w:p>
            <w:pPr>
              <w:widowControl w:val="0"/>
              <w:spacing w:line="400" w:lineRule="exact"/>
              <w:ind w:firstLine="562"/>
              <w:jc w:val="both"/>
              <w:rPr>
                <w:rFonts w:hAnsi="方正仿宋简体" w:eastAsia="方正仿宋简体"/>
                <w:szCs w:val="28"/>
                <w:lang w:bidi="ar"/>
              </w:rPr>
            </w:pPr>
            <w:r>
              <w:rPr>
                <w:rFonts w:hint="eastAsia" w:hAnsi="方正仿宋简体" w:eastAsia="方正仿宋简体"/>
                <w:b/>
                <w:bCs/>
                <w:szCs w:val="28"/>
                <w:lang w:bidi="ar"/>
              </w:rPr>
              <w:t>与台山市衔接：</w:t>
            </w:r>
            <w:r>
              <w:rPr>
                <w:rFonts w:hint="eastAsia" w:hAnsi="方正仿宋简体" w:eastAsia="方正仿宋简体"/>
                <w:szCs w:val="28"/>
                <w:lang w:bidi="ar"/>
              </w:rPr>
              <w:t>西部沿海高速公路、国道G</w:t>
            </w:r>
            <w:r>
              <w:rPr>
                <w:rFonts w:hAnsi="方正仿宋简体" w:eastAsia="方正仿宋简体"/>
                <w:szCs w:val="28"/>
                <w:lang w:bidi="ar"/>
              </w:rPr>
              <w:t>228</w:t>
            </w:r>
            <w:r>
              <w:rPr>
                <w:rFonts w:hint="eastAsia" w:hAnsi="方正仿宋简体" w:eastAsia="方正仿宋简体"/>
                <w:szCs w:val="28"/>
                <w:lang w:bidi="ar"/>
              </w:rPr>
              <w:t>、省道S</w:t>
            </w:r>
            <w:r>
              <w:rPr>
                <w:rFonts w:hAnsi="方正仿宋简体" w:eastAsia="方正仿宋简体"/>
                <w:szCs w:val="28"/>
                <w:lang w:bidi="ar"/>
              </w:rPr>
              <w:t>276</w:t>
            </w:r>
            <w:r>
              <w:rPr>
                <w:rFonts w:hint="eastAsia" w:hAnsi="方正仿宋简体" w:eastAsia="方正仿宋简体"/>
                <w:szCs w:val="28"/>
                <w:lang w:bidi="ar"/>
              </w:rPr>
              <w:t>、县道X</w:t>
            </w:r>
            <w:r>
              <w:rPr>
                <w:rFonts w:hAnsi="方正仿宋简体" w:eastAsia="方正仿宋简体"/>
                <w:szCs w:val="28"/>
                <w:lang w:bidi="ar"/>
              </w:rPr>
              <w:t>820</w:t>
            </w:r>
            <w:r>
              <w:rPr>
                <w:rFonts w:hint="eastAsia" w:hAnsi="方正仿宋简体" w:eastAsia="方正仿宋简体"/>
                <w:szCs w:val="28"/>
                <w:lang w:bidi="ar"/>
              </w:rPr>
              <w:t>、广东滨海旅游公路（新增）。</w:t>
            </w:r>
          </w:p>
          <w:p>
            <w:pPr>
              <w:widowControl w:val="0"/>
              <w:spacing w:line="400" w:lineRule="exact"/>
              <w:ind w:firstLine="562"/>
              <w:jc w:val="both"/>
              <w:rPr>
                <w:b/>
                <w:bCs/>
              </w:rPr>
            </w:pPr>
            <w:r>
              <w:rPr>
                <w:rFonts w:hint="eastAsia" w:hAnsi="方正仿宋简体" w:eastAsia="方正仿宋简体"/>
                <w:b/>
                <w:bCs/>
                <w:szCs w:val="28"/>
                <w:lang w:bidi="ar"/>
              </w:rPr>
              <w:t>与阳春市衔接：</w:t>
            </w:r>
            <w:r>
              <w:rPr>
                <w:rFonts w:hint="eastAsia" w:hAnsi="方正仿宋简体" w:eastAsia="方正仿宋简体"/>
                <w:szCs w:val="28"/>
                <w:lang w:bidi="ar"/>
              </w:rPr>
              <w:t>阳阳高速公路国道、G234国道、G325（省道S386共线）、省道S539、珠海至阳江高速公路（新增）、县道X592（新增）、县道X601（新增）、县道X829（新增）、县道X602（新增）。</w:t>
            </w:r>
          </w:p>
        </w:tc>
      </w:tr>
    </w:tbl>
    <w:p>
      <w:pPr>
        <w:pStyle w:val="4"/>
        <w:keepNext w:val="0"/>
        <w:keepLines w:val="0"/>
        <w:widowControl w:val="0"/>
        <w:adjustRightInd w:val="0"/>
        <w:snapToGrid w:val="0"/>
        <w:spacing w:before="0" w:after="0" w:line="520" w:lineRule="exact"/>
        <w:ind w:firstLine="640"/>
        <w:jc w:val="both"/>
        <w:rPr>
          <w:rFonts w:eastAsia="方正楷体简体"/>
          <w:b w:val="0"/>
          <w:bCs w:val="0"/>
        </w:rPr>
      </w:pPr>
      <w:r>
        <w:rPr>
          <w:rFonts w:hint="eastAsia" w:eastAsia="方正楷体简体"/>
          <w:b w:val="0"/>
          <w:bCs w:val="0"/>
        </w:rPr>
        <w:t>（三）农村公路网络发展规划</w:t>
      </w:r>
    </w:p>
    <w:p>
      <w:pPr>
        <w:pStyle w:val="6"/>
        <w:adjustRightInd w:val="0"/>
        <w:snapToGrid w:val="0"/>
        <w:spacing w:line="520" w:lineRule="exact"/>
        <w:ind w:firstLine="640"/>
        <w:rPr>
          <w:rFonts w:eastAsia="方正仿宋简体"/>
          <w:color w:val="auto"/>
          <w:sz w:val="32"/>
        </w:rPr>
      </w:pPr>
      <w:r>
        <w:rPr>
          <w:rFonts w:hint="eastAsia" w:eastAsia="方正仿宋简体"/>
          <w:color w:val="auto"/>
          <w:sz w:val="32"/>
        </w:rPr>
        <w:t>坚持“安全、适用、经济、绿色、自然”原则，打造“一路一风景、一村一幅画、一镇一特色”美丽农村路。重点推进通建制村单改双工程，路网联结工程，美丽农村路建设工程，危旧桥改造工程和农村公路安全生命防护工程。</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至2025年，全区二级及以上等级公路通达乡镇、3A级旅游景点；基本实现具备条件通建制村公路由“单车道改双车道”；基本实现衔接高速公路的农村公路路段技术水平达三级及以上，基本实现衔接普通国道的农村公路路段为四级及以上双车道公路。到2035年，基本建成高效畅通、安全便捷、景路相融、体制顺畅的农村交通运输体系，引领阳东区实现农业农村现代化。</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农村公路作为道路交通系统里的“毛细血管”,由于分布广、数量大等特点，无法按干线公路网的方式进行空间布局，本次规划方案，仅列出县道网布局方案，乡道及村道仅做规模控制及标准指引，阳东区规划县道19条，总里程合计</w:t>
      </w:r>
      <w:r>
        <w:rPr>
          <w:rFonts w:eastAsia="方正仿宋简体"/>
          <w:color w:val="auto"/>
          <w:sz w:val="32"/>
        </w:rPr>
        <w:t>324</w:t>
      </w:r>
      <w:r>
        <w:rPr>
          <w:rFonts w:hint="eastAsia" w:eastAsia="方正仿宋简体"/>
          <w:color w:val="auto"/>
          <w:sz w:val="32"/>
        </w:rPr>
        <w:t>公里。</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38" w:name="_Toc117693190"/>
      <w:r>
        <w:rPr>
          <w:rFonts w:hint="eastAsia" w:ascii="黑体" w:hAnsi="黑体"/>
          <w:b w:val="0"/>
          <w:bCs w:val="0"/>
          <w:kern w:val="0"/>
          <w:szCs w:val="20"/>
        </w:rPr>
        <w:t>第四节 构建“快进</w:t>
      </w:r>
      <w:r>
        <w:rPr>
          <w:rFonts w:ascii="黑体" w:hAnsi="黑体"/>
          <w:b w:val="0"/>
          <w:bCs w:val="0"/>
          <w:kern w:val="0"/>
          <w:szCs w:val="20"/>
        </w:rPr>
        <w:t>慢游</w:t>
      </w:r>
      <w:r>
        <w:rPr>
          <w:rFonts w:hint="eastAsia" w:ascii="黑体" w:hAnsi="黑体"/>
          <w:b w:val="0"/>
          <w:bCs w:val="0"/>
          <w:kern w:val="0"/>
          <w:szCs w:val="20"/>
        </w:rPr>
        <w:t>”的旅游交通网络</w:t>
      </w:r>
      <w:bookmarkEnd w:id="38"/>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阳东区旅游交通网络建设，要围绕阳东构建“两心两带”全域空间发展格局，打造国内知名、省内一流的全域山海度假旅游目的地，构建“快进”“慢游”两个网络，提升旅游设施服务水平、景观环保水平、旅游信息服务水平等3项水平，紧扣“1</w:t>
      </w:r>
      <w:r>
        <w:rPr>
          <w:rFonts w:eastAsia="方正仿宋简体"/>
          <w:color w:val="auto"/>
          <w:sz w:val="32"/>
        </w:rPr>
        <w:t>23</w:t>
      </w:r>
      <w:r>
        <w:rPr>
          <w:rFonts w:hint="eastAsia" w:eastAsia="方正仿宋简体"/>
          <w:color w:val="auto"/>
          <w:sz w:val="32"/>
        </w:rPr>
        <w:t>”支撑阳东创建全域旅游示范区。</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（一）“快进”网络</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针对阳东区旅游国际国内市场，通过加强区域合作、优化交通格局、完善基础设施，依托航空、高铁、高速公路等构建“快进”交通网络，打造航空旅游圈、高铁旅游圈、高速公路旅游圈。航空旅游圈方面，一是重点要加强与周边运输机场，特别是珠三角枢纽（广州新）机场和阳江机场的衔接；二是加快推进阳东区内合山通用机场改扩建工程，积极完善相关通用航空基础设施建设，强化与粤港澳大湾区、周边地市和邻近省份通用机场的合作，全力打造便捷的短途运输网络。高铁旅游圈方面，一是要加快推进广湛高铁建成通车，积极谋划珠海至阳江高铁；二是推进阳东全域高效衔接阳东站、阳江站、阳江北站、阳春东站，形成阳东区三小时高铁旅游圈。高速公路旅游圈方面，一是要加快构建支撑阳东打造“两心两带”全域空间发展格局的“三纵三横”的高速公路网络；二是重点规划建设高明至阳东高速、珠海至阳江高速，联北部生态旅游景点、秦汉历史和高凉文化，支撑打造阳东北部山区的秦汉文化生态风情带；三是规划建设沈海高速阳东支线，形成世界级地热公园核心的“快进”通道，支撑阳东北部生态旅游与南部滨海旅游联动发展。</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（二）“慢游”网络</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围绕阳东以海丝文化滨海风情为龙头，以秦汉历史为脉络，“两心两带”全域旅游空间发展格局，规划阳东区干线旅游公路形成“一环四射六联”布局形态，同时布设绿道慢游网络，有效串联生态山林主题、艺术文化体验主题、秦汉历史和高凉文化田园休闲主题、泉湖康养主题以及海丝文化滨海主题。</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“一环四射六联”干线旅游公路，主要由国省道以及部分县乡道组成，串联全域主要旅游景点，建设总规模约22</w:t>
      </w:r>
      <w:r>
        <w:rPr>
          <w:rFonts w:eastAsia="方正仿宋简体"/>
          <w:color w:val="auto"/>
          <w:sz w:val="32"/>
        </w:rPr>
        <w:t>5.2</w:t>
      </w:r>
      <w:r>
        <w:rPr>
          <w:rFonts w:hint="eastAsia" w:eastAsia="方正仿宋简体"/>
          <w:color w:val="auto"/>
          <w:sz w:val="32"/>
        </w:rPr>
        <w:t>公里，其中环线72.77公里，射线11</w:t>
      </w:r>
      <w:r>
        <w:rPr>
          <w:rFonts w:eastAsia="方正仿宋简体"/>
          <w:color w:val="auto"/>
          <w:sz w:val="32"/>
        </w:rPr>
        <w:t>1.89</w:t>
      </w:r>
      <w:r>
        <w:rPr>
          <w:rFonts w:hint="eastAsia" w:eastAsia="方正仿宋简体"/>
          <w:color w:val="auto"/>
          <w:sz w:val="32"/>
        </w:rPr>
        <w:t>公里，联络线</w:t>
      </w:r>
      <w:r>
        <w:rPr>
          <w:rFonts w:eastAsia="方正仿宋简体"/>
          <w:color w:val="auto"/>
          <w:sz w:val="32"/>
        </w:rPr>
        <w:t>40.54</w:t>
      </w:r>
      <w:r>
        <w:rPr>
          <w:rFonts w:hint="eastAsia" w:eastAsia="方正仿宋简体"/>
          <w:color w:val="auto"/>
          <w:sz w:val="32"/>
        </w:rPr>
        <w:t>公里。</w:t>
      </w:r>
    </w:p>
    <w:tbl>
      <w:tblPr>
        <w:tblStyle w:val="6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240" w:lineRule="auto"/>
              <w:ind w:firstLine="0" w:firstLineChars="0"/>
              <w:jc w:val="center"/>
              <w:rPr>
                <w:rFonts w:eastAsia="方正小标宋简体"/>
                <w:sz w:val="32"/>
              </w:rPr>
            </w:pPr>
            <w:r>
              <w:rPr>
                <w:rFonts w:hint="eastAsia" w:ascii="黑体" w:hAnsi="黑体" w:eastAsia="方正小标宋简体" w:cs="宋体"/>
                <w:szCs w:val="28"/>
              </w:rPr>
              <w:t>专栏八 阳东区干线旅游公路布局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环线：</w:t>
            </w:r>
            <w:r>
              <w:rPr>
                <w:rFonts w:hint="eastAsia" w:hAnsi="方正仿宋简体" w:eastAsia="方正仿宋简体"/>
                <w:szCs w:val="28"/>
                <w:lang w:bidi="ar"/>
              </w:rPr>
              <w:t>规划由西部沿海高速、国道G</w:t>
            </w:r>
            <w:r>
              <w:rPr>
                <w:rFonts w:hAnsi="方正仿宋简体" w:eastAsia="方正仿宋简体"/>
                <w:szCs w:val="28"/>
                <w:lang w:bidi="ar"/>
              </w:rPr>
              <w:t>325</w:t>
            </w:r>
            <w:r>
              <w:rPr>
                <w:rFonts w:hint="eastAsia" w:hAnsi="方正仿宋简体" w:eastAsia="方正仿宋简体"/>
                <w:szCs w:val="28"/>
                <w:lang w:bidi="ar"/>
              </w:rPr>
              <w:t>、省道S</w:t>
            </w:r>
            <w:r>
              <w:rPr>
                <w:rFonts w:hAnsi="方正仿宋简体" w:eastAsia="方正仿宋简体"/>
                <w:szCs w:val="28"/>
                <w:lang w:bidi="ar"/>
              </w:rPr>
              <w:t>276</w:t>
            </w:r>
            <w:r>
              <w:rPr>
                <w:rFonts w:hint="eastAsia" w:hAnsi="方正仿宋简体" w:eastAsia="方正仿宋简体"/>
                <w:szCs w:val="28"/>
                <w:lang w:bidi="ar"/>
              </w:rPr>
              <w:t>、县道X</w:t>
            </w:r>
            <w:r>
              <w:rPr>
                <w:rFonts w:hAnsi="方正仿宋简体" w:eastAsia="方正仿宋简体"/>
                <w:szCs w:val="28"/>
                <w:lang w:bidi="ar"/>
              </w:rPr>
              <w:t>819</w:t>
            </w:r>
            <w:r>
              <w:rPr>
                <w:rFonts w:hint="eastAsia" w:hAnsi="方正仿宋简体" w:eastAsia="方正仿宋简体"/>
                <w:szCs w:val="28"/>
                <w:lang w:bidi="ar"/>
              </w:rPr>
              <w:t>组成，起点为G</w:t>
            </w:r>
            <w:r>
              <w:rPr>
                <w:rFonts w:hAnsi="方正仿宋简体" w:eastAsia="方正仿宋简体"/>
                <w:szCs w:val="28"/>
                <w:lang w:bidi="ar"/>
              </w:rPr>
              <w:t>325</w:t>
            </w:r>
            <w:r>
              <w:rPr>
                <w:rFonts w:hint="eastAsia" w:hAnsi="方正仿宋简体" w:eastAsia="方正仿宋简体"/>
                <w:szCs w:val="28"/>
                <w:lang w:bidi="ar"/>
              </w:rPr>
              <w:t>东城入口，经过北惯、合山、那龙、新洲、东平、大沟、雅韶，终点回归东城形成闭环，总里程约</w:t>
            </w:r>
            <w:r>
              <w:rPr>
                <w:rFonts w:hAnsi="方正仿宋简体" w:eastAsia="方正仿宋简体"/>
                <w:szCs w:val="28"/>
                <w:lang w:bidi="ar"/>
              </w:rPr>
              <w:t>72.77</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射线一：</w:t>
            </w:r>
            <w:r>
              <w:rPr>
                <w:rFonts w:hint="eastAsia" w:hAnsi="方正仿宋简体" w:eastAsia="方正仿宋简体"/>
                <w:szCs w:val="28"/>
                <w:lang w:bidi="ar"/>
              </w:rPr>
              <w:t>规划由国道G</w:t>
            </w:r>
            <w:r>
              <w:rPr>
                <w:rFonts w:hAnsi="方正仿宋简体" w:eastAsia="方正仿宋简体"/>
                <w:szCs w:val="28"/>
                <w:lang w:bidi="ar"/>
              </w:rPr>
              <w:t>325</w:t>
            </w:r>
            <w:r>
              <w:rPr>
                <w:rFonts w:hint="eastAsia" w:hAnsi="方正仿宋简体" w:eastAsia="方正仿宋简体"/>
                <w:szCs w:val="28"/>
                <w:lang w:bidi="ar"/>
              </w:rPr>
              <w:t>、省道S</w:t>
            </w:r>
            <w:r>
              <w:rPr>
                <w:rFonts w:hAnsi="方正仿宋简体" w:eastAsia="方正仿宋简体"/>
                <w:szCs w:val="28"/>
                <w:lang w:bidi="ar"/>
              </w:rPr>
              <w:t>386</w:t>
            </w:r>
            <w:r>
              <w:rPr>
                <w:rFonts w:hint="eastAsia" w:hAnsi="方正仿宋简体" w:eastAsia="方正仿宋简体"/>
                <w:szCs w:val="28"/>
                <w:lang w:bidi="ar"/>
              </w:rPr>
              <w:t>、省道S</w:t>
            </w:r>
            <w:r>
              <w:rPr>
                <w:rFonts w:hAnsi="方正仿宋简体" w:eastAsia="方正仿宋简体"/>
                <w:szCs w:val="28"/>
                <w:lang w:bidi="ar"/>
              </w:rPr>
              <w:t>539</w:t>
            </w:r>
            <w:r>
              <w:rPr>
                <w:rFonts w:hint="eastAsia" w:hAnsi="方正仿宋简体" w:eastAsia="方正仿宋简体"/>
                <w:szCs w:val="28"/>
                <w:lang w:bidi="ar"/>
              </w:rPr>
              <w:t>、县道X</w:t>
            </w:r>
            <w:r>
              <w:rPr>
                <w:rFonts w:hAnsi="方正仿宋简体" w:eastAsia="方正仿宋简体"/>
                <w:szCs w:val="28"/>
                <w:lang w:bidi="ar"/>
              </w:rPr>
              <w:t>592</w:t>
            </w:r>
            <w:r>
              <w:rPr>
                <w:rFonts w:hint="eastAsia" w:hAnsi="方正仿宋简体" w:eastAsia="方正仿宋简体"/>
                <w:szCs w:val="28"/>
                <w:lang w:bidi="ar"/>
              </w:rPr>
              <w:t>组成，起点为合山镇热水，经过石及村、大坪山、大八珠环，终点为阳东林场，总里程约6</w:t>
            </w:r>
            <w:r>
              <w:rPr>
                <w:rFonts w:hAnsi="方正仿宋简体" w:eastAsia="方正仿宋简体"/>
                <w:szCs w:val="28"/>
                <w:lang w:bidi="ar"/>
              </w:rPr>
              <w:t>1.53</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射线二：</w:t>
            </w:r>
            <w:r>
              <w:rPr>
                <w:rFonts w:hint="eastAsia" w:hAnsi="方正仿宋简体" w:eastAsia="方正仿宋简体"/>
                <w:szCs w:val="28"/>
                <w:lang w:bidi="ar"/>
              </w:rPr>
              <w:t>规划由县道X</w:t>
            </w:r>
            <w:r>
              <w:rPr>
                <w:rFonts w:hAnsi="方正仿宋简体" w:eastAsia="方正仿宋简体"/>
                <w:szCs w:val="28"/>
                <w:lang w:bidi="ar"/>
              </w:rPr>
              <w:t>820</w:t>
            </w:r>
            <w:r>
              <w:rPr>
                <w:rFonts w:hint="eastAsia" w:hAnsi="方正仿宋简体" w:eastAsia="方正仿宋简体"/>
                <w:szCs w:val="28"/>
                <w:lang w:bidi="ar"/>
              </w:rPr>
              <w:t>组成，起点为黄其龙村，终点为河仔，总里程约1</w:t>
            </w:r>
            <w:r>
              <w:rPr>
                <w:rFonts w:hAnsi="方正仿宋简体" w:eastAsia="方正仿宋简体"/>
                <w:szCs w:val="28"/>
                <w:lang w:bidi="ar"/>
              </w:rPr>
              <w:t>1.5</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射线三：</w:t>
            </w:r>
            <w:r>
              <w:rPr>
                <w:rFonts w:hint="eastAsia" w:hAnsi="方正仿宋简体" w:eastAsia="方正仿宋简体"/>
                <w:szCs w:val="28"/>
                <w:lang w:bidi="ar"/>
              </w:rPr>
              <w:t>规划由省道</w:t>
            </w:r>
            <w:r>
              <w:rPr>
                <w:rFonts w:hAnsi="方正仿宋简体" w:eastAsia="方正仿宋简体"/>
                <w:szCs w:val="28"/>
                <w:lang w:bidi="ar"/>
              </w:rPr>
              <w:t>S276</w:t>
            </w:r>
            <w:r>
              <w:rPr>
                <w:rFonts w:hint="eastAsia" w:hAnsi="方正仿宋简体" w:eastAsia="方正仿宋简体"/>
                <w:szCs w:val="28"/>
                <w:lang w:bidi="ar"/>
              </w:rPr>
              <w:t>组成，起点为新洲，终点为三山，总里程约</w:t>
            </w:r>
            <w:r>
              <w:rPr>
                <w:rFonts w:hAnsi="方正仿宋简体" w:eastAsia="方正仿宋简体"/>
                <w:szCs w:val="28"/>
                <w:lang w:bidi="ar"/>
              </w:rPr>
              <w:t>6.57</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射线四：</w:t>
            </w:r>
            <w:r>
              <w:rPr>
                <w:rFonts w:hint="eastAsia" w:hAnsi="方正仿宋简体" w:eastAsia="方正仿宋简体"/>
                <w:szCs w:val="28"/>
                <w:lang w:bidi="ar"/>
              </w:rPr>
              <w:t>规划由广东滨海旅游公路组成，起点为雅韶，终点为田头屋，总里程约3</w:t>
            </w:r>
            <w:r>
              <w:rPr>
                <w:rFonts w:hAnsi="方正仿宋简体" w:eastAsia="方正仿宋简体"/>
                <w:szCs w:val="28"/>
                <w:lang w:bidi="ar"/>
              </w:rPr>
              <w:t>2.29</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联络线一：</w:t>
            </w:r>
            <w:r>
              <w:rPr>
                <w:rFonts w:hint="eastAsia" w:hAnsi="方正仿宋简体" w:eastAsia="方正仿宋简体"/>
                <w:szCs w:val="28"/>
                <w:lang w:bidi="ar"/>
              </w:rPr>
              <w:t>规划由Y</w:t>
            </w:r>
            <w:r>
              <w:rPr>
                <w:rFonts w:hAnsi="方正仿宋简体" w:eastAsia="方正仿宋简体"/>
                <w:szCs w:val="28"/>
                <w:lang w:bidi="ar"/>
              </w:rPr>
              <w:t>508</w:t>
            </w:r>
            <w:r>
              <w:rPr>
                <w:rFonts w:hint="eastAsia" w:hAnsi="方正仿宋简体" w:eastAsia="方正仿宋简体"/>
                <w:szCs w:val="28"/>
                <w:lang w:bidi="ar"/>
              </w:rPr>
              <w:t>组成，起点为白蒙，终点为走马坪，总里程约7</w:t>
            </w:r>
            <w:r>
              <w:rPr>
                <w:rFonts w:hAnsi="方正仿宋简体" w:eastAsia="方正仿宋简体"/>
                <w:szCs w:val="28"/>
                <w:lang w:bidi="ar"/>
              </w:rPr>
              <w:t>.09</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联络线二：</w:t>
            </w:r>
            <w:r>
              <w:rPr>
                <w:rFonts w:hint="eastAsia" w:hAnsi="方正仿宋简体" w:eastAsia="方正仿宋简体"/>
                <w:szCs w:val="28"/>
                <w:lang w:bidi="ar"/>
              </w:rPr>
              <w:t>规划由S</w:t>
            </w:r>
            <w:r>
              <w:rPr>
                <w:rFonts w:hAnsi="方正仿宋简体" w:eastAsia="方正仿宋简体"/>
                <w:szCs w:val="28"/>
                <w:lang w:bidi="ar"/>
              </w:rPr>
              <w:t>297</w:t>
            </w:r>
            <w:r>
              <w:rPr>
                <w:rFonts w:hint="eastAsia" w:hAnsi="方正仿宋简体" w:eastAsia="方正仿宋简体"/>
                <w:szCs w:val="28"/>
                <w:lang w:bidi="ar"/>
              </w:rPr>
              <w:t>与C</w:t>
            </w:r>
            <w:r>
              <w:rPr>
                <w:rFonts w:hAnsi="方正仿宋简体" w:eastAsia="方正仿宋简体"/>
                <w:szCs w:val="28"/>
                <w:lang w:bidi="ar"/>
              </w:rPr>
              <w:t>345</w:t>
            </w:r>
            <w:r>
              <w:rPr>
                <w:rFonts w:hint="eastAsia" w:hAnsi="方正仿宋简体" w:eastAsia="方正仿宋简体"/>
                <w:szCs w:val="28"/>
                <w:lang w:bidi="ar"/>
              </w:rPr>
              <w:t>组成，起点为那龙那甲，经过历屯，终点为山花，总里程约5</w:t>
            </w:r>
            <w:r>
              <w:rPr>
                <w:rFonts w:hAnsi="方正仿宋简体" w:eastAsia="方正仿宋简体"/>
                <w:szCs w:val="28"/>
                <w:lang w:bidi="ar"/>
              </w:rPr>
              <w:t>.42</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联络线三：</w:t>
            </w:r>
            <w:r>
              <w:rPr>
                <w:rFonts w:hint="eastAsia" w:hAnsi="方正仿宋简体" w:eastAsia="方正仿宋简体"/>
                <w:szCs w:val="28"/>
                <w:lang w:bidi="ar"/>
              </w:rPr>
              <w:t>规划由</w:t>
            </w:r>
            <w:r>
              <w:rPr>
                <w:rFonts w:hAnsi="方正仿宋简体" w:eastAsia="方正仿宋简体"/>
                <w:szCs w:val="28"/>
                <w:lang w:bidi="ar"/>
              </w:rPr>
              <w:t>X595</w:t>
            </w:r>
            <w:r>
              <w:rPr>
                <w:rFonts w:hint="eastAsia" w:hAnsi="方正仿宋简体" w:eastAsia="方正仿宋简体"/>
                <w:szCs w:val="28"/>
                <w:lang w:bidi="ar"/>
              </w:rPr>
              <w:t>、</w:t>
            </w:r>
            <w:r>
              <w:rPr>
                <w:rFonts w:hAnsi="方正仿宋简体" w:eastAsia="方正仿宋简体"/>
                <w:szCs w:val="28"/>
                <w:lang w:bidi="ar"/>
              </w:rPr>
              <w:t>S276</w:t>
            </w:r>
            <w:r>
              <w:rPr>
                <w:rFonts w:hint="eastAsia" w:hAnsi="方正仿宋简体" w:eastAsia="方正仿宋简体"/>
                <w:szCs w:val="28"/>
                <w:lang w:bidi="ar"/>
              </w:rPr>
              <w:t>、</w:t>
            </w:r>
            <w:r>
              <w:rPr>
                <w:rFonts w:hAnsi="方正仿宋简体" w:eastAsia="方正仿宋简体"/>
                <w:szCs w:val="28"/>
                <w:lang w:bidi="ar"/>
              </w:rPr>
              <w:t>S297</w:t>
            </w:r>
            <w:r>
              <w:rPr>
                <w:rFonts w:hint="eastAsia" w:hAnsi="方正仿宋简体" w:eastAsia="方正仿宋简体"/>
                <w:szCs w:val="28"/>
                <w:lang w:bidi="ar"/>
              </w:rPr>
              <w:t>组成，起点为三山，终点为大沟，总里程约为1</w:t>
            </w:r>
            <w:r>
              <w:rPr>
                <w:rFonts w:hAnsi="方正仿宋简体" w:eastAsia="方正仿宋简体"/>
                <w:szCs w:val="28"/>
                <w:lang w:bidi="ar"/>
              </w:rPr>
              <w:t>2.48</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联络线四：</w:t>
            </w:r>
            <w:r>
              <w:rPr>
                <w:rFonts w:hint="eastAsia" w:hAnsi="方正仿宋简体" w:eastAsia="方正仿宋简体"/>
                <w:szCs w:val="28"/>
                <w:lang w:bidi="ar"/>
              </w:rPr>
              <w:t>规划由X</w:t>
            </w:r>
            <w:r>
              <w:rPr>
                <w:rFonts w:hAnsi="方正仿宋简体" w:eastAsia="方正仿宋简体"/>
                <w:szCs w:val="28"/>
                <w:lang w:bidi="ar"/>
              </w:rPr>
              <w:t>598</w:t>
            </w:r>
            <w:r>
              <w:rPr>
                <w:rFonts w:hint="eastAsia" w:hAnsi="方正仿宋简体" w:eastAsia="方正仿宋简体"/>
                <w:szCs w:val="28"/>
                <w:lang w:bidi="ar"/>
              </w:rPr>
              <w:t>组成，起点为雅韶，终点为北津港，总里程约5</w:t>
            </w:r>
            <w:r>
              <w:rPr>
                <w:rFonts w:hAnsi="方正仿宋简体" w:eastAsia="方正仿宋简体"/>
                <w:szCs w:val="28"/>
                <w:lang w:bidi="ar"/>
              </w:rPr>
              <w:t>.21</w:t>
            </w:r>
            <w:r>
              <w:rPr>
                <w:rFonts w:hint="eastAsia" w:hAnsi="方正仿宋简体" w:eastAsia="方正仿宋简体"/>
                <w:szCs w:val="28"/>
                <w:lang w:bidi="ar"/>
              </w:rPr>
              <w:t>公里。</w:t>
            </w:r>
          </w:p>
          <w:p>
            <w:pPr>
              <w:widowControl w:val="0"/>
              <w:spacing w:line="480" w:lineRule="exact"/>
              <w:ind w:firstLine="562"/>
              <w:jc w:val="both"/>
              <w:rPr>
                <w:rFonts w:hAnsi="方正仿宋简体" w:eastAsia="方正仿宋简体"/>
                <w:szCs w:val="28"/>
                <w:lang w:bidi="ar"/>
              </w:rPr>
            </w:pPr>
            <w:r>
              <w:rPr>
                <w:rFonts w:hint="eastAsia" w:hAnsi="方正仿宋简体" w:eastAsia="方正仿宋简体"/>
                <w:b/>
                <w:bCs/>
                <w:szCs w:val="28"/>
                <w:lang w:bidi="ar"/>
              </w:rPr>
              <w:t>联络线五：</w:t>
            </w:r>
            <w:r>
              <w:rPr>
                <w:rFonts w:hint="eastAsia" w:hAnsi="方正仿宋简体" w:eastAsia="方正仿宋简体"/>
                <w:szCs w:val="28"/>
                <w:lang w:bidi="ar"/>
              </w:rPr>
              <w:t>规划由Y</w:t>
            </w:r>
            <w:r>
              <w:rPr>
                <w:rFonts w:hAnsi="方正仿宋简体" w:eastAsia="方正仿宋简体"/>
                <w:szCs w:val="28"/>
                <w:lang w:bidi="ar"/>
              </w:rPr>
              <w:t>411</w:t>
            </w:r>
            <w:r>
              <w:rPr>
                <w:rFonts w:hint="eastAsia" w:hAnsi="方正仿宋简体" w:eastAsia="方正仿宋简体"/>
                <w:szCs w:val="28"/>
                <w:lang w:bidi="ar"/>
              </w:rPr>
              <w:t>组成，起点为寿长大道牌楼，经过寿长河，终点连接至广东滨海旅游公路，总里程约3</w:t>
            </w:r>
            <w:r>
              <w:rPr>
                <w:rFonts w:hAnsi="方正仿宋简体" w:eastAsia="方正仿宋简体"/>
                <w:szCs w:val="28"/>
                <w:lang w:bidi="ar"/>
              </w:rPr>
              <w:t>.53</w:t>
            </w:r>
            <w:r>
              <w:rPr>
                <w:rFonts w:hint="eastAsia" w:hAnsi="方正仿宋简体" w:eastAsia="方正仿宋简体"/>
                <w:szCs w:val="28"/>
                <w:lang w:bidi="ar"/>
              </w:rPr>
              <w:t>公里。</w:t>
            </w:r>
          </w:p>
          <w:p>
            <w:pPr>
              <w:widowControl w:val="0"/>
              <w:spacing w:line="480" w:lineRule="exact"/>
              <w:ind w:firstLine="562"/>
              <w:jc w:val="both"/>
            </w:pPr>
            <w:r>
              <w:rPr>
                <w:rFonts w:hint="eastAsia" w:hAnsi="方正仿宋简体" w:eastAsia="方正仿宋简体"/>
                <w:b/>
                <w:bCs/>
                <w:szCs w:val="28"/>
                <w:lang w:bidi="ar"/>
              </w:rPr>
              <w:t>联络线六：</w:t>
            </w:r>
            <w:r>
              <w:rPr>
                <w:rFonts w:hint="eastAsia" w:hAnsi="方正仿宋简体" w:eastAsia="方正仿宋简体"/>
                <w:szCs w:val="28"/>
                <w:lang w:bidi="ar"/>
              </w:rPr>
              <w:t>规划由Y</w:t>
            </w:r>
            <w:r>
              <w:rPr>
                <w:rFonts w:hAnsi="方正仿宋简体" w:eastAsia="方正仿宋简体"/>
                <w:szCs w:val="28"/>
                <w:lang w:bidi="ar"/>
              </w:rPr>
              <w:t>416</w:t>
            </w:r>
            <w:r>
              <w:rPr>
                <w:rFonts w:hint="eastAsia" w:hAnsi="方正仿宋简体" w:eastAsia="方正仿宋简体"/>
                <w:szCs w:val="28"/>
                <w:lang w:bidi="ar"/>
              </w:rPr>
              <w:t>组成，起点为北环桥，终点为小办村，总里程为6</w:t>
            </w:r>
            <w:r>
              <w:rPr>
                <w:rFonts w:hAnsi="方正仿宋简体" w:eastAsia="方正仿宋简体"/>
                <w:szCs w:val="28"/>
                <w:lang w:bidi="ar"/>
              </w:rPr>
              <w:t>.81</w:t>
            </w:r>
            <w:r>
              <w:rPr>
                <w:rFonts w:hint="eastAsia" w:hAnsi="方正仿宋简体" w:eastAsia="方正仿宋简体"/>
                <w:szCs w:val="28"/>
                <w:lang w:bidi="ar"/>
              </w:rPr>
              <w:t>公里。</w:t>
            </w:r>
          </w:p>
        </w:tc>
      </w:tr>
    </w:tbl>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结合主要滨海、河流水系和道路形成全域绿道网络体系，串联全域重要旅游景点。规划形成3条一级绿道、5条二级绿道和N个绿道驿站。重点打造沿东湖、寿长河湿地公园和那龙河绿道，依托并结合部分公路路段，形成全域绿道环线。</w:t>
      </w:r>
    </w:p>
    <w:p>
      <w:pPr>
        <w:pStyle w:val="4"/>
        <w:keepNext w:val="0"/>
        <w:keepLines w:val="0"/>
        <w:widowControl w:val="0"/>
        <w:adjustRightInd w:val="0"/>
        <w:snapToGrid w:val="0"/>
        <w:spacing w:before="0" w:after="0" w:line="570" w:lineRule="exact"/>
        <w:ind w:firstLine="640"/>
        <w:jc w:val="both"/>
        <w:rPr>
          <w:rFonts w:eastAsia="方正楷体简体"/>
          <w:b w:val="0"/>
          <w:bCs w:val="0"/>
        </w:rPr>
      </w:pPr>
      <w:r>
        <w:rPr>
          <w:rFonts w:hint="eastAsia" w:eastAsia="方正楷体简体"/>
          <w:b w:val="0"/>
          <w:bCs w:val="0"/>
        </w:rPr>
        <w:t>（三）旅游集散中心</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根据阳东旅游景点分布，结合客运枢纽分布情况，规划打造“2+3+7+N”三级旅游集散服务中心体系，完善全域交通畅达网络，实现集散服务重点突破。</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2个一级集散中心：依托阳江高铁站、阳东高铁站，强化阳江、阳东集散中心服务体系，形成以阳东站一级集散中心、东城一级集散中心“双核引领，全域覆盖”的集散体系。</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3个二级集散中心：阳东湾二级集散中心、东平镇二级集散中心和新洲镇二级集散中心，承载次一级的游客集散枢纽功能，游客可根据需求自行选择自驾、公共交通等旅游方式。</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7个三级集散中心：分别为大八镇三级集散中心、珠环村三级集散中心、周亨村三级集散中心、北惯镇三级集散中心、北津三级集散中心、雅韶三级集散中心、大沟三级集散中心，依托主要乡镇建立三级集散中心，满足区域旅游服务需求。</w:t>
      </w:r>
    </w:p>
    <w:p>
      <w:pPr>
        <w:pStyle w:val="6"/>
        <w:adjustRightInd w:val="0"/>
        <w:snapToGrid w:val="0"/>
        <w:spacing w:line="570" w:lineRule="exact"/>
        <w:ind w:firstLine="640"/>
        <w:rPr>
          <w:rFonts w:eastAsia="方正仿宋简体"/>
          <w:color w:val="auto"/>
          <w:sz w:val="32"/>
        </w:rPr>
        <w:sectPr>
          <w:pgSz w:w="11906" w:h="16838"/>
          <w:pgMar w:top="1440" w:right="1800" w:bottom="1440" w:left="1800" w:header="851" w:footer="992" w:gutter="0"/>
          <w:cols w:space="425" w:num="1"/>
          <w:docGrid w:type="lines" w:linePitch="312" w:charSpace="0"/>
        </w:sectPr>
      </w:pPr>
      <w:r>
        <w:rPr>
          <w:rFonts w:hint="eastAsia" w:eastAsia="方正仿宋简体"/>
          <w:color w:val="auto"/>
          <w:sz w:val="32"/>
        </w:rPr>
        <w:t>N个旅游服务中心：分别在各个景区、景点等人流聚集处设置旅游集散点，以满足旅游服务需求。</w:t>
      </w:r>
    </w:p>
    <w:p>
      <w:pPr>
        <w:pStyle w:val="2"/>
        <w:keepNext w:val="0"/>
        <w:keepLines w:val="0"/>
        <w:spacing w:line="570" w:lineRule="exact"/>
        <w:textAlignment w:val="auto"/>
        <w:rPr>
          <w:rFonts w:ascii="Times New Roman" w:hAnsi="Times New Roman" w:eastAsia="方正小标宋简体"/>
          <w:b w:val="0"/>
          <w:sz w:val="44"/>
        </w:rPr>
      </w:pPr>
      <w:bookmarkStart w:id="39" w:name="_Toc117693191"/>
      <w:r>
        <w:rPr>
          <w:rFonts w:hint="eastAsia" w:ascii="Times New Roman" w:hAnsi="Times New Roman" w:eastAsia="方正小标宋简体"/>
          <w:b w:val="0"/>
          <w:sz w:val="44"/>
        </w:rPr>
        <w:t>第四章 打造</w:t>
      </w:r>
      <w:r>
        <w:rPr>
          <w:rFonts w:ascii="Times New Roman" w:hAnsi="Times New Roman" w:eastAsia="方正小标宋简体"/>
          <w:b w:val="0"/>
          <w:sz w:val="44"/>
        </w:rPr>
        <w:t>便捷</w:t>
      </w:r>
      <w:r>
        <w:rPr>
          <w:rFonts w:hint="eastAsia" w:ascii="Times New Roman" w:hAnsi="Times New Roman" w:eastAsia="方正小标宋简体"/>
          <w:b w:val="0"/>
          <w:sz w:val="44"/>
        </w:rPr>
        <w:t>高效</w:t>
      </w:r>
      <w:r>
        <w:rPr>
          <w:rFonts w:ascii="Times New Roman" w:hAnsi="Times New Roman" w:eastAsia="方正小标宋简体"/>
          <w:b w:val="0"/>
          <w:sz w:val="44"/>
        </w:rPr>
        <w:t>的</w:t>
      </w:r>
      <w:r>
        <w:rPr>
          <w:rFonts w:hint="eastAsia" w:ascii="Times New Roman" w:hAnsi="Times New Roman" w:eastAsia="方正小标宋简体"/>
          <w:b w:val="0"/>
          <w:sz w:val="44"/>
        </w:rPr>
        <w:t>客货运输体系</w:t>
      </w:r>
      <w:bookmarkEnd w:id="39"/>
    </w:p>
    <w:p>
      <w:pPr>
        <w:widowControl w:val="0"/>
        <w:adjustRightInd w:val="0"/>
        <w:snapToGrid w:val="0"/>
        <w:spacing w:line="540" w:lineRule="exact"/>
        <w:ind w:firstLine="640"/>
        <w:jc w:val="both"/>
        <w:rPr>
          <w:rFonts w:eastAsia="方正仿宋简体"/>
          <w:sz w:val="32"/>
        </w:rPr>
      </w:pPr>
    </w:p>
    <w:p>
      <w:pPr>
        <w:pStyle w:val="3"/>
        <w:keepNext w:val="0"/>
        <w:keepLines w:val="0"/>
        <w:widowControl w:val="0"/>
        <w:adjustRightInd w:val="0"/>
        <w:snapToGrid w:val="0"/>
        <w:spacing w:before="0" w:after="0" w:line="540" w:lineRule="exact"/>
        <w:jc w:val="center"/>
        <w:rPr>
          <w:rFonts w:ascii="黑体" w:hAnsi="黑体" w:eastAsia="楷体"/>
          <w:b w:val="0"/>
          <w:bCs w:val="0"/>
          <w:kern w:val="0"/>
          <w:szCs w:val="20"/>
        </w:rPr>
      </w:pPr>
      <w:bookmarkStart w:id="40" w:name="_Toc117693192"/>
      <w:r>
        <w:rPr>
          <w:rFonts w:hint="eastAsia" w:ascii="黑体" w:hAnsi="黑体"/>
          <w:b w:val="0"/>
          <w:bCs w:val="0"/>
          <w:kern w:val="0"/>
          <w:szCs w:val="20"/>
        </w:rPr>
        <w:t>第一节 综合客运体系规划</w:t>
      </w:r>
      <w:bookmarkEnd w:id="40"/>
    </w:p>
    <w:p>
      <w:pPr>
        <w:pStyle w:val="6"/>
        <w:spacing w:line="540" w:lineRule="exact"/>
        <w:ind w:firstLine="640"/>
        <w:rPr>
          <w:rFonts w:eastAsia="方正仿宋简体"/>
          <w:color w:val="auto"/>
          <w:sz w:val="32"/>
        </w:rPr>
      </w:pPr>
      <w:r>
        <w:rPr>
          <w:rFonts w:hint="eastAsia" w:eastAsia="方正仿宋简体"/>
          <w:color w:val="auto"/>
          <w:sz w:val="32"/>
        </w:rPr>
        <w:t>以市场需求为导向，以综合客运枢纽为引领，加快形成层次清晰、网络畅达、品质优越的综合客运网络，打造与综合客运枢纽、阳江市区及其他组团快速联系，与大湾区发展极广佛、深港、珠澳互联互通，有效覆盖乡镇和农村节点的综合客运体系，提升客运服务水平，不断满足人民群众出行的需要，切实增强人民群众的获得感。</w:t>
      </w:r>
    </w:p>
    <w:p>
      <w:pPr>
        <w:pStyle w:val="4"/>
        <w:keepNext w:val="0"/>
        <w:keepLines w:val="0"/>
        <w:widowControl w:val="0"/>
        <w:adjustRightInd w:val="0"/>
        <w:snapToGrid w:val="0"/>
        <w:spacing w:before="0" w:after="0" w:line="540" w:lineRule="exact"/>
        <w:ind w:firstLine="640"/>
        <w:jc w:val="both"/>
        <w:rPr>
          <w:rFonts w:eastAsia="方正楷体简体"/>
          <w:b w:val="0"/>
          <w:bCs w:val="0"/>
        </w:rPr>
      </w:pPr>
      <w:r>
        <w:rPr>
          <w:rFonts w:hint="eastAsia" w:eastAsia="方正楷体简体"/>
          <w:b w:val="0"/>
          <w:bCs w:val="0"/>
        </w:rPr>
        <w:t>（一）综合客运枢纽规划</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 xml:space="preserve">以打造多种交通方式集于一体的“零换乘”立体综合交通枢纽为导向，依托区内已建和规划的高铁、市域铁路、客货运站场及公路，加快形成一体高效的综合交通枢纽，规划打造“二主三辅八节点”的综合交通客运枢纽布局。其中，“二主”即两个区域级客运枢纽，分别为阳东综合客运枢纽、阳东客运站，主要承担区域对外中长途公路客运，以高铁站为中心，快速衔接城市轨道交通、大中运量公交、常规公交、客运班线等；“三辅”即三个市域级客运枢纽，分别为合山综合客运枢纽、北惯客运站、东平客运站，主要承担部分省内中短途公路客运，以公路客运站为中心，快速衔接大中运量公交、常规公交、出租车等。 </w:t>
      </w:r>
    </w:p>
    <w:p>
      <w:pPr>
        <w:pStyle w:val="4"/>
        <w:keepNext w:val="0"/>
        <w:keepLines w:val="0"/>
        <w:widowControl w:val="0"/>
        <w:adjustRightInd w:val="0"/>
        <w:snapToGrid w:val="0"/>
        <w:spacing w:before="0" w:after="0" w:line="540" w:lineRule="exact"/>
        <w:ind w:firstLine="640"/>
        <w:jc w:val="both"/>
        <w:rPr>
          <w:rFonts w:eastAsia="方正楷体简体"/>
          <w:b w:val="0"/>
          <w:bCs w:val="0"/>
        </w:rPr>
      </w:pPr>
      <w:r>
        <w:rPr>
          <w:rFonts w:hint="eastAsia" w:eastAsia="方正楷体简体"/>
          <w:b w:val="0"/>
          <w:bCs w:val="0"/>
        </w:rPr>
        <w:t>（二）综合客运网络规划</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根据综合客运相关规划理论和方法，结合阳东区实际，规划形成阳东层次分明、能力充分、一体多元的客运出行网络，包括主骨架客运网络和市内客运网络。</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主骨架客运网络支撑区域客运出行，基于阳东形成快速联通广佛极核、深港珠澳极核、湛江海口极核和南宁极核的“一节点四联通”的区域性综合运输通道布局，以联程联运为导向，推广“出行即服务”理念，发展智能终端“一站式”出行服务，努力实现“一站购票、一票（证）通行”。近距离对外形成以城际铁路、高速直达客运为主体，（跨市）公交为补充的客运系统，0.5小时通达阳江中心城区；中等距离对外主要以高铁及城际铁路为主体，公路客运为补充，融入粤港澳大湾区“1小时生活圈”；远距离对外主要以航空、高铁为主体，公路客运为补充，远距离对外主要以航空、高铁为主体，公路客运为补充，2-4小时左右通达广东省主要城市、周边省会城市、国内主要城市。</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区内客运网络支撑城乡客运一体化发展，根据阳东区城市规模和社会经济发展水平，规划构建以中运量公交为骨干，常规公交为主体，出租车、定制公交等形式为补充的多模式、多层次的城区公共交通体系，推动城市公交和城乡客运一体化融合，逐步形成统一高效的阳东区一体化城乡客运网，最大能力保障公众基本出行需求。中运量快速公交线网方面，根据《阳江快速公共交通线网规划》，结合阳东区城区中运量快速公交线网发展现状及未来发展需求，规划打造3条城区中运量公交线路，其中骨干线1条，加密线2条。常规公交线网方面，规划打造公交快线6条，主要满足城市主次中心、公交换乘枢纽、对外交通枢纽、各镇区之间的长距离快速出行需求；公交干线6条，主要满足城市发展轴、主要客流通道上的沿途出行需求，沿途停站主要为公交换乘枢纽和大型客流集散点（大型居住区、商业区、行政办公区等）；公交支线1条，主要满足短途乘客出行需求，并为上层次线路提供接驳服务。</w:t>
      </w:r>
      <w:bookmarkStart w:id="41" w:name="_Toc117693193"/>
    </w:p>
    <w:p>
      <w:pPr>
        <w:pStyle w:val="6"/>
        <w:adjustRightInd w:val="0"/>
        <w:snapToGrid w:val="0"/>
        <w:spacing w:line="540" w:lineRule="exact"/>
        <w:ind w:firstLine="0" w:firstLineChars="0"/>
        <w:jc w:val="center"/>
        <w:outlineLvl w:val="1"/>
        <w:rPr>
          <w:rFonts w:ascii="黑体" w:hAnsi="黑体" w:eastAsia="黑体"/>
          <w:bCs/>
          <w:kern w:val="0"/>
          <w:sz w:val="32"/>
          <w:szCs w:val="20"/>
        </w:rPr>
      </w:pPr>
      <w:r>
        <w:rPr>
          <w:rFonts w:hint="eastAsia" w:ascii="黑体" w:hAnsi="黑体" w:eastAsia="黑体"/>
          <w:kern w:val="0"/>
          <w:sz w:val="32"/>
          <w:szCs w:val="20"/>
        </w:rPr>
        <w:t>第二节 综合货运体系规划</w:t>
      </w:r>
      <w:bookmarkEnd w:id="41"/>
    </w:p>
    <w:p>
      <w:pPr>
        <w:pStyle w:val="4"/>
        <w:keepNext w:val="0"/>
        <w:keepLines w:val="0"/>
        <w:widowControl w:val="0"/>
        <w:adjustRightInd w:val="0"/>
        <w:snapToGrid w:val="0"/>
        <w:spacing w:before="0" w:after="0" w:line="540" w:lineRule="exact"/>
        <w:ind w:firstLine="640"/>
        <w:jc w:val="both"/>
        <w:rPr>
          <w:rFonts w:eastAsia="方正楷体简体"/>
          <w:b w:val="0"/>
          <w:bCs w:val="0"/>
        </w:rPr>
      </w:pPr>
      <w:r>
        <w:rPr>
          <w:rFonts w:hint="eastAsia" w:eastAsia="方正楷体简体"/>
          <w:b w:val="0"/>
          <w:bCs w:val="0"/>
        </w:rPr>
        <w:t>（一）综合货运枢纽规划</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基于阳东中心城区、合山镇、北惯镇、东平镇等交通节点型镇区的良好交通区位条件，围绕阳东奋力建设“双区”产业延伸区域和环广深产业功能配套区，打造“双区”装备制造业的核心零部件生产配套基地，结合产业布局、城市规划和物流需求，构建“物流中心—配送中心”二级货运枢纽体系，形成“3</w:t>
      </w:r>
      <w:r>
        <w:rPr>
          <w:rFonts w:eastAsia="方正仿宋简体"/>
          <w:color w:val="auto"/>
          <w:sz w:val="32"/>
        </w:rPr>
        <w:t>+8</w:t>
      </w:r>
      <w:r>
        <w:rPr>
          <w:rFonts w:hint="eastAsia" w:eastAsia="方正仿宋简体"/>
          <w:color w:val="auto"/>
          <w:sz w:val="32"/>
        </w:rPr>
        <w:t>” 的货运物流枢纽总体布局，即</w:t>
      </w:r>
      <w:r>
        <w:rPr>
          <w:rFonts w:eastAsia="方正仿宋简体"/>
          <w:color w:val="auto"/>
          <w:sz w:val="32"/>
        </w:rPr>
        <w:t>3</w:t>
      </w:r>
      <w:r>
        <w:rPr>
          <w:rFonts w:hint="eastAsia" w:eastAsia="方正仿宋简体"/>
          <w:color w:val="auto"/>
          <w:sz w:val="32"/>
        </w:rPr>
        <w:t>个专业物流中心、</w:t>
      </w:r>
      <w:r>
        <w:rPr>
          <w:rFonts w:eastAsia="方正仿宋简体"/>
          <w:color w:val="auto"/>
          <w:sz w:val="32"/>
        </w:rPr>
        <w:t>8</w:t>
      </w:r>
      <w:r>
        <w:rPr>
          <w:rFonts w:hint="eastAsia" w:eastAsia="方正仿宋简体"/>
          <w:color w:val="auto"/>
          <w:sz w:val="32"/>
        </w:rPr>
        <w:t>个镇级配送中心，培育壮大一批有竞争力的现代物流企业，重点推进制造业物流、城市配送物流和农产品冷链物流发展，提升全区现代物流业的整体水平。形成以物流中心为核心、以快递配送为基础、以农村物流站点为补充的完善物流网络体系，推动制造业、农产品的生产物流与“最后一公里”的生活物流协调发展，将阳东建设成为辐射周边的物流集散中心。</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3个物流中心：包括合山物流中心、阳东物流中心、东平物流中心，承担阳江的主要货物集散功能，具备较强大的物流辐射能力和物流存储能力，同时为园区内企业生产提供储运、配送、车辆停放等物流配套服务。</w:t>
      </w:r>
    </w:p>
    <w:p>
      <w:pPr>
        <w:pStyle w:val="6"/>
        <w:adjustRightInd w:val="0"/>
        <w:snapToGrid w:val="0"/>
        <w:spacing w:line="540" w:lineRule="exact"/>
        <w:ind w:firstLine="640"/>
        <w:rPr>
          <w:rFonts w:eastAsia="方正仿宋简体"/>
          <w:color w:val="auto"/>
          <w:sz w:val="32"/>
        </w:rPr>
      </w:pPr>
      <w:r>
        <w:rPr>
          <w:rFonts w:eastAsia="方正仿宋简体"/>
          <w:color w:val="auto"/>
          <w:sz w:val="32"/>
        </w:rPr>
        <w:t>8</w:t>
      </w:r>
      <w:r>
        <w:rPr>
          <w:rFonts w:hint="eastAsia" w:eastAsia="方正仿宋简体"/>
          <w:color w:val="auto"/>
          <w:sz w:val="32"/>
        </w:rPr>
        <w:t>个物流配送中心：配送中心（节点）主要根据用地布局规划及城镇发展需求配套，结合阳东南部滨海和北部山区产业与城镇发展灵活、分散布局，为特定客户或末端客户提供高频率、小批量、多批次的生产性或生活性物资配送服务。</w:t>
      </w:r>
    </w:p>
    <w:p>
      <w:pPr>
        <w:pStyle w:val="4"/>
        <w:keepNext w:val="0"/>
        <w:keepLines w:val="0"/>
        <w:widowControl w:val="0"/>
        <w:adjustRightInd w:val="0"/>
        <w:snapToGrid w:val="0"/>
        <w:spacing w:before="0" w:after="0" w:line="540" w:lineRule="exact"/>
        <w:ind w:firstLine="640"/>
        <w:jc w:val="both"/>
        <w:rPr>
          <w:rFonts w:eastAsia="方正楷体简体"/>
          <w:b w:val="0"/>
          <w:bCs w:val="0"/>
        </w:rPr>
      </w:pPr>
      <w:r>
        <w:rPr>
          <w:rFonts w:hint="eastAsia" w:eastAsia="方正楷体简体"/>
          <w:b w:val="0"/>
          <w:bCs w:val="0"/>
        </w:rPr>
        <w:t>（二）综合货运网络规划</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（1）构建货畅其流货运运输网络</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一是要优化大宗货物运输网络。围绕高铁站、合山机场、港口和产业园区规划建设情况，以阳东产业发展为引擎，依托日益完善的物流园区、物流中心等货运交通基础设施，构建枢纽转运型的货运骨架网络主骨架。二是要完善普通货物运输服务网络。主要依托高速公路、国省道等公路交通基础设施，要以港口、物流园区、物流中心等为基点，加强对商品生产地、消费地的服务支撑，不断优化完善普通货物运输网络。三是加快城乡物流配送网络建设。加强生产生活物资的运送服务，提升末端配送网络覆盖率，着力解决货运“最后一公里”问题</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（2）推进多式联运</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一是构建公铁空物流网络。规划形成以沈海高速、国道G325改线、深茂铁路、珠海至阳江高铁、合山机场航线为主要货运通道，以阳东高铁站、合山机场、阳东物流中心为重要节点，连接重要货源地与目的地、贯通省内外，提供全程一体化组织的货物运输网络。研究拓展现有的阳东站和合山机场货运物流发展，为高铁和航空快运创造条件。二是构建水陆港联运物流网络。加快推进东平港、北津港集疏运公路建设，以疏港公路为末端微循环系统实现港口与货运枢纽、物流园区的高效衔接。加快对接阳江港以及周边地市港口，引入战略投资，通过港区（企业）、物流企业合作，融入阳江市、全省港口运营体系。</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w:t>
      </w:r>
      <w:r>
        <w:rPr>
          <w:rFonts w:eastAsia="方正仿宋简体"/>
          <w:color w:val="auto"/>
          <w:sz w:val="32"/>
        </w:rPr>
        <w:t>3</w:t>
      </w:r>
      <w:r>
        <w:rPr>
          <w:rFonts w:hint="eastAsia" w:eastAsia="方正仿宋简体"/>
          <w:color w:val="auto"/>
          <w:sz w:val="32"/>
        </w:rPr>
        <w:t>）商贸物流</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一是整合工业集聚区的物流服务。加强物流商、批发商、销售商与五金刀剪、食品加工、木材家具等产业群的物流对接，完善物流产业链规划。统筹规划工业集聚区的物流服务体系，倡导集聚区内物流基础设施、物流信息平台的共享共用，为工业物流需求释放提供良好的服务条件。二是推进港口物流为主导的冷链物流建设。基于阳东现有农产品批发市场等生鲜冷链基础设施，围绕阳东区东平渔港规划打造沿海水产品冷链物流基地，合山打造果蔬冷链物流基地，以及雅韶打造肉类冷链物流基地，形成供应粤港澳大湾区绿色农产品的现代物流运行体系，鼓励冷链物流企业加快各类保鲜、冷藏、冷冻、预冷、运输、查验等冷链物流相关基础设施建设。</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w:t>
      </w:r>
      <w:r>
        <w:rPr>
          <w:rFonts w:eastAsia="方正仿宋简体"/>
          <w:color w:val="auto"/>
          <w:sz w:val="32"/>
        </w:rPr>
        <w:t>4</w:t>
      </w:r>
      <w:r>
        <w:rPr>
          <w:rFonts w:hint="eastAsia" w:eastAsia="方正仿宋简体"/>
          <w:color w:val="auto"/>
          <w:sz w:val="32"/>
        </w:rPr>
        <w:t>）配送物流</w:t>
      </w:r>
    </w:p>
    <w:p>
      <w:pPr>
        <w:pStyle w:val="6"/>
        <w:adjustRightInd w:val="0"/>
        <w:snapToGrid w:val="0"/>
        <w:spacing w:line="540" w:lineRule="exact"/>
        <w:ind w:firstLine="640"/>
        <w:rPr>
          <w:rFonts w:eastAsia="方正仿宋简体"/>
          <w:color w:val="auto"/>
          <w:sz w:val="32"/>
        </w:rPr>
      </w:pPr>
      <w:r>
        <w:rPr>
          <w:rFonts w:hint="eastAsia" w:eastAsia="方正仿宋简体"/>
          <w:color w:val="auto"/>
          <w:sz w:val="32"/>
        </w:rPr>
        <w:t>一是加强各镇配送中心建设，重点支持具有公益性的城市配送公共服务设施建设，推动位于城市或城乡结合部的货运场站转型为社会化配送中心，或通过公路客运站拓展物流配送功能。二是完善末端配送网络体系，加强末端配送网点建设，提升末端配送网点覆盖率。完善配送自助提货柜等设施布局，畅通配送末端“毛细血管”。支持物流龙头企业与区域性物流企业加强合作，共建城乡一体化物流网络。加强农村物流网络体系建设，支持建设县、乡镇综合性物流配送中心和末端配送网点。</w:t>
      </w:r>
    </w:p>
    <w:p>
      <w:pPr>
        <w:pStyle w:val="2"/>
        <w:spacing w:before="312" w:beforeLines="100" w:after="312" w:afterLines="100" w:line="240" w:lineRule="auto"/>
        <w:rPr>
          <w:rFonts w:hAnsi="黑体"/>
          <w:b w:val="0"/>
          <w:sz w:val="32"/>
        </w:rPr>
        <w:sectPr>
          <w:pgSz w:w="11906" w:h="16838"/>
          <w:pgMar w:top="1440" w:right="1800" w:bottom="1440" w:left="1800" w:header="851" w:footer="992" w:gutter="0"/>
          <w:cols w:space="425" w:num="1"/>
          <w:docGrid w:type="lines" w:linePitch="312" w:charSpace="0"/>
        </w:sectPr>
      </w:pPr>
    </w:p>
    <w:p>
      <w:pPr>
        <w:pStyle w:val="2"/>
        <w:keepNext w:val="0"/>
        <w:keepLines w:val="0"/>
        <w:spacing w:line="570" w:lineRule="exact"/>
        <w:textAlignment w:val="auto"/>
        <w:rPr>
          <w:rFonts w:ascii="Times New Roman" w:hAnsi="Times New Roman" w:eastAsia="方正小标宋简体"/>
          <w:b w:val="0"/>
          <w:sz w:val="44"/>
        </w:rPr>
      </w:pPr>
      <w:bookmarkStart w:id="42" w:name="_Toc117693194"/>
      <w:r>
        <w:rPr>
          <w:rFonts w:hint="eastAsia" w:ascii="Times New Roman" w:hAnsi="Times New Roman" w:eastAsia="方正小标宋简体"/>
          <w:b w:val="0"/>
          <w:sz w:val="44"/>
        </w:rPr>
        <w:t>第五章 建设可持续交通发展体系</w:t>
      </w:r>
      <w:bookmarkEnd w:id="42"/>
    </w:p>
    <w:p>
      <w:pPr>
        <w:ind w:firstLine="560"/>
      </w:pP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43" w:name="_Toc117693195"/>
      <w:r>
        <w:rPr>
          <w:rFonts w:hint="eastAsia" w:ascii="黑体" w:hAnsi="黑体"/>
          <w:b w:val="0"/>
          <w:bCs w:val="0"/>
          <w:kern w:val="0"/>
          <w:szCs w:val="20"/>
        </w:rPr>
        <w:t>第一节 建设智慧交通</w:t>
      </w:r>
      <w:bookmarkEnd w:id="43"/>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推进交通基础设施智慧化建设，逐步推进互联网先进技术与交通运输深度融合，推广各类智能终端在公路、铁路、港口、机场、城市公交线网等交通基础设施的布局和应用，全面提升交通领域要素资源在线化率。根据阳东发展条件和需要，争取部分智慧交通产品在阳东试点，努力建设人流物流信息流多流集成、高效畅通的智慧交通。进一步完善布局治理超限超载非现场执法监测点，充分利用治超站非现场执法监测动态数据库资源，运用大数据高效打击非法营运，切实提高交通综合执法工作效能。整合公路交通基础设施数字化，打造公路交通综合信息平台，建设覆盖全区范围的标准统一、内容完备、数据准确、上下衔接的交通基础设施数据库和公路实景图。</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44" w:name="_Toc117693196"/>
      <w:r>
        <w:rPr>
          <w:rFonts w:hint="eastAsia" w:ascii="黑体" w:hAnsi="黑体"/>
          <w:b w:val="0"/>
          <w:bCs w:val="0"/>
          <w:kern w:val="0"/>
          <w:szCs w:val="20"/>
        </w:rPr>
        <w:t>第二节 建设绿色交通</w:t>
      </w:r>
      <w:bookmarkEnd w:id="44"/>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全面开展绿色出行行动、深入实施公交优先战略，有效提升城市公交机动化出行比例，持续改善城市交通秩序。完善友好的绿色出行环境和服务体系，加强城市慢行系统建设。积极推进生态工程技术在交通基础设施设计、建设、养护和运营等全过程的综合运用，建设生态型交通基础设施。推广应用节能环保型运输装备，加快淘汰高能耗、高排放的老旧设备。推动纯电动化车辆延伸到出租汽车、城市配送、城乡物流、营运货车等。推进土地和岸线资源节约集约利用，采用合理选线选址、优化建设方案、永临用地结合等措施提高新建交通基础设施的用地效率，改扩建和升级改造工程应充分利用既有走廊或场地。</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45" w:name="_Toc117693197"/>
      <w:r>
        <w:rPr>
          <w:rFonts w:hint="eastAsia" w:ascii="黑体" w:hAnsi="黑体"/>
          <w:b w:val="0"/>
          <w:bCs w:val="0"/>
          <w:kern w:val="0"/>
          <w:szCs w:val="20"/>
        </w:rPr>
        <w:t>第三节 建设平安交通</w:t>
      </w:r>
      <w:bookmarkEnd w:id="45"/>
    </w:p>
    <w:p>
      <w:pPr>
        <w:pStyle w:val="6"/>
        <w:adjustRightInd w:val="0"/>
        <w:snapToGrid w:val="0"/>
        <w:spacing w:line="570" w:lineRule="exact"/>
        <w:ind w:firstLine="640"/>
        <w:rPr>
          <w:rFonts w:eastAsia="方正仿宋简体"/>
          <w:color w:val="auto"/>
          <w:sz w:val="32"/>
        </w:rPr>
        <w:sectPr>
          <w:pgSz w:w="11906" w:h="16838"/>
          <w:pgMar w:top="1440" w:right="1800" w:bottom="1440" w:left="1800" w:header="851" w:footer="992" w:gutter="0"/>
          <w:cols w:space="425" w:num="1"/>
          <w:docGrid w:type="lines" w:linePitch="312" w:charSpace="0"/>
        </w:sectPr>
      </w:pPr>
      <w:r>
        <w:rPr>
          <w:rFonts w:hint="eastAsia" w:eastAsia="方正仿宋简体"/>
          <w:color w:val="auto"/>
          <w:sz w:val="32"/>
        </w:rPr>
        <w:t>持续加大交通基础设施安全防护投入，持续推进安全隐患排查治理体系化建设，</w:t>
      </w:r>
      <w:r>
        <w:rPr>
          <w:rFonts w:eastAsia="方正仿宋简体"/>
          <w:color w:val="auto"/>
          <w:sz w:val="32"/>
        </w:rPr>
        <w:t>坚持建养并重</w:t>
      </w:r>
      <w:r>
        <w:rPr>
          <w:rFonts w:hint="eastAsia" w:eastAsia="方正仿宋简体"/>
          <w:color w:val="auto"/>
          <w:sz w:val="32"/>
        </w:rPr>
        <w:t>，</w:t>
      </w:r>
      <w:r>
        <w:rPr>
          <w:rFonts w:eastAsia="方正仿宋简体"/>
          <w:color w:val="auto"/>
          <w:sz w:val="32"/>
        </w:rPr>
        <w:t>强化预防性养护工作</w:t>
      </w:r>
      <w:r>
        <w:rPr>
          <w:rFonts w:hint="eastAsia" w:eastAsia="方正仿宋简体"/>
          <w:color w:val="auto"/>
          <w:sz w:val="32"/>
        </w:rPr>
        <w:t>，特别是加强干线公路和农村公路养护力度，</w:t>
      </w:r>
      <w:r>
        <w:rPr>
          <w:rFonts w:eastAsia="方正仿宋简体"/>
          <w:color w:val="auto"/>
          <w:sz w:val="32"/>
        </w:rPr>
        <w:t>提高耐久性</w:t>
      </w:r>
      <w:r>
        <w:rPr>
          <w:rFonts w:hint="eastAsia" w:eastAsia="方正仿宋简体"/>
          <w:color w:val="auto"/>
          <w:sz w:val="32"/>
        </w:rPr>
        <w:t>、</w:t>
      </w:r>
      <w:r>
        <w:rPr>
          <w:rFonts w:eastAsia="方正仿宋简体"/>
          <w:color w:val="auto"/>
          <w:sz w:val="32"/>
        </w:rPr>
        <w:t>可靠性和使用寿命</w:t>
      </w:r>
      <w:r>
        <w:rPr>
          <w:rFonts w:hint="eastAsia" w:eastAsia="方正仿宋简体"/>
          <w:color w:val="auto"/>
          <w:sz w:val="32"/>
        </w:rPr>
        <w:t>。深入开展各领域的“平安交通”创建活动，及安全生产隐患排查治理“回头看”活动。综合运用法律、经济和行政手段，督促企业落实主体责任，建立安全生产违法行为信息库及相关管理制度，形成部门间违法违规行为相互通报机制。加强与公安等部门的监测数据交换和应急响应联动，深入开展各类交通突发事件风险普查和监控。督促交通运输生产企业有针对性地完善应急预案，配备相应的应急物资，并组织开展演练做好恶劣天气条件下防范安全生产事故的预防措施，严防暴雨、台风等恶劣天气造成伤亡事故的发生。</w:t>
      </w:r>
    </w:p>
    <w:p>
      <w:pPr>
        <w:pStyle w:val="2"/>
        <w:keepNext w:val="0"/>
        <w:keepLines w:val="0"/>
        <w:spacing w:line="570" w:lineRule="exact"/>
        <w:textAlignment w:val="auto"/>
        <w:rPr>
          <w:rFonts w:ascii="Times New Roman" w:hAnsi="Times New Roman" w:eastAsia="方正小标宋简体"/>
          <w:b w:val="0"/>
          <w:sz w:val="44"/>
        </w:rPr>
      </w:pPr>
      <w:bookmarkStart w:id="46" w:name="_Toc109292504"/>
      <w:bookmarkStart w:id="47" w:name="_Toc117693198"/>
      <w:r>
        <w:rPr>
          <w:rFonts w:hint="eastAsia" w:ascii="Times New Roman" w:hAnsi="Times New Roman" w:eastAsia="方正小标宋简体"/>
          <w:b w:val="0"/>
          <w:sz w:val="44"/>
        </w:rPr>
        <w:t>第六章 国土空间规划衔接</w:t>
      </w:r>
      <w:bookmarkEnd w:id="46"/>
      <w:bookmarkEnd w:id="47"/>
    </w:p>
    <w:p>
      <w:pPr>
        <w:ind w:firstLine="560"/>
      </w:pP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国土空间资源是交通发展的重要载体，综合交通运输网络是国土空间使用、空间结构优化、空间组织协调、国土空间联系方式转变的重要手段和途径，是实现国土空间开发保护的重要支撑和保障。国土空间资源和综合交通运输网络是相互支撑、相互促进的关系，两者要加强规划衔接、信息对接、资源共享，共同推进阳东区国土空间开发保护总体格局构建，为阳东构建</w:t>
      </w:r>
      <w:r>
        <w:rPr>
          <w:rFonts w:eastAsia="方正仿宋简体"/>
          <w:color w:val="auto"/>
          <w:sz w:val="32"/>
        </w:rPr>
        <w:t>“</w:t>
      </w:r>
      <w:r>
        <w:rPr>
          <w:rFonts w:hint="eastAsia" w:eastAsia="方正仿宋简体"/>
          <w:color w:val="auto"/>
          <w:sz w:val="32"/>
        </w:rPr>
        <w:t>一轴一带、一核三区</w:t>
      </w:r>
      <w:r>
        <w:rPr>
          <w:rFonts w:eastAsia="方正仿宋简体"/>
          <w:color w:val="auto"/>
          <w:sz w:val="32"/>
        </w:rPr>
        <w:t>”</w:t>
      </w:r>
      <w:r>
        <w:rPr>
          <w:rFonts w:hint="eastAsia" w:eastAsia="方正仿宋简体"/>
          <w:color w:val="auto"/>
          <w:sz w:val="32"/>
        </w:rPr>
        <w:t>发展新格局，打造打造融湾承接平台，构建融湾交通体系和阳江东部宜居样板区提供有力支撑。</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48" w:name="_Toc117693199"/>
      <w:bookmarkStart w:id="49" w:name="_Toc109292505"/>
      <w:r>
        <w:rPr>
          <w:rFonts w:hint="eastAsia" w:ascii="黑体" w:hAnsi="黑体"/>
          <w:b w:val="0"/>
          <w:bCs w:val="0"/>
          <w:kern w:val="0"/>
          <w:szCs w:val="20"/>
        </w:rPr>
        <w:t>第一节 支撑国土空间开发</w:t>
      </w:r>
      <w:bookmarkEnd w:id="48"/>
      <w:bookmarkEnd w:id="49"/>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本规划周期较长，未来交通供给和需求都将发生深刻变化。人民享有美好交通服务的需求将显著增长，需要持续的高质量交通供给相匹配。规划坚持需求导向，根据交通需求和支撑重大战略的现实需要，优化交通基础设施供给结构，充分利用存量资源，扩大优质增量供给，提升交通基础设施供给能力、质量和效益，提高资源配置效率和全要素生产力。通过交通与国土空间开发的融合发展，顺应、培育和释放新的交通需求，实现更高水平的交通供给与需求的动态平衡，使人民真正享有美好交通服务。</w:t>
      </w:r>
    </w:p>
    <w:p>
      <w:pPr>
        <w:pStyle w:val="3"/>
        <w:keepNext w:val="0"/>
        <w:keepLines w:val="0"/>
        <w:widowControl w:val="0"/>
        <w:adjustRightInd w:val="0"/>
        <w:snapToGrid w:val="0"/>
        <w:spacing w:before="0" w:after="0" w:line="570" w:lineRule="exact"/>
        <w:jc w:val="center"/>
        <w:rPr>
          <w:rFonts w:ascii="Times New Roman" w:hAnsi="Times New Roman" w:eastAsia="方正仿宋简体"/>
          <w:b w:val="0"/>
          <w:bCs w:val="0"/>
          <w:kern w:val="0"/>
          <w:szCs w:val="20"/>
        </w:rPr>
      </w:pPr>
      <w:bookmarkStart w:id="50" w:name="_Toc109292506"/>
      <w:bookmarkStart w:id="51" w:name="_Toc117693200"/>
      <w:r>
        <w:rPr>
          <w:rFonts w:hint="eastAsia" w:ascii="黑体" w:hAnsi="黑体"/>
          <w:b w:val="0"/>
          <w:bCs w:val="0"/>
          <w:kern w:val="0"/>
          <w:szCs w:val="20"/>
        </w:rPr>
        <w:t>第二节 注重规划动态</w:t>
      </w:r>
      <w:bookmarkEnd w:id="50"/>
      <w:r>
        <w:rPr>
          <w:rFonts w:hint="eastAsia" w:ascii="黑体" w:hAnsi="黑体"/>
          <w:b w:val="0"/>
          <w:bCs w:val="0"/>
          <w:kern w:val="0"/>
          <w:szCs w:val="20"/>
        </w:rPr>
        <w:t>调控</w:t>
      </w:r>
      <w:bookmarkEnd w:id="51"/>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以国土空间规划的“一张图”为基底，构建综合交通基础设施“一张图”和动态空间信息平台，建立健全综合交通规划与国土空间规划的动态调控机制。本规划时空跨度较长，交通基础设施布局在规划研究阶段难以获得精准线位，后期根据相关控制因素的变化，在国土空间规划中进行阶段性动态更新。</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52" w:name="_Toc117693201"/>
      <w:bookmarkStart w:id="53" w:name="_Toc109292507"/>
      <w:r>
        <w:rPr>
          <w:rFonts w:hint="eastAsia" w:ascii="黑体" w:hAnsi="黑体"/>
          <w:b w:val="0"/>
          <w:bCs w:val="0"/>
          <w:kern w:val="0"/>
          <w:szCs w:val="20"/>
        </w:rPr>
        <w:t>第三节 集约利用空间资源</w:t>
      </w:r>
      <w:bookmarkEnd w:id="52"/>
      <w:bookmarkEnd w:id="53"/>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加强规划与三条控制线划定的衔接，按照合理布局、集约高效的原则，统筹综合立体网络布局。通过预留重大基础设施廊道，统筹管控和高效利用国土资源，优先布局制式多样、多层立体的复合通道；注重核心区域的设施共建、资源走廊共享，系统谋划综合枢纽，利用交通运输综合体、多式联运区等新载体，整合各类交通功能，提高国土管控下的交通运输资源使用效率。合理确定与国土空间规划“三区三线”的关系，做好线位重要节点的空间预留，严守生态底线，采用提高桥梁比例、加大桥梁跨径、运用环保新材料等手段实现无害化穿越；严守永久基本农田底线，尽量避免直接穿越，实现交通基础设施总量在控制边界中的有序增长。在规划设计阶段，紧密结合辖区和项目实际，优化项目选址选线范围，避让重要生态功能区，少占或不占永久基本农田。</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通过将高速公路网、干线公路网规划方案与阳东区最新“三区三线”进行矢量数据叠加，得到阳东区高速公路及干线公路重点项目占用国土空间的情况。经过分析可知，高速公路网用地红线用地规模约</w:t>
      </w:r>
      <w:r>
        <w:rPr>
          <w:rFonts w:eastAsia="方正仿宋简体"/>
          <w:color w:val="auto"/>
          <w:sz w:val="32"/>
        </w:rPr>
        <w:t>1149.23</w:t>
      </w:r>
      <w:r>
        <w:rPr>
          <w:rFonts w:hint="eastAsia" w:eastAsia="方正仿宋简体"/>
          <w:color w:val="auto"/>
          <w:sz w:val="32"/>
        </w:rPr>
        <w:t>公顷，占全区国土面积的</w:t>
      </w:r>
      <w:r>
        <w:rPr>
          <w:rFonts w:eastAsia="方正仿宋简体"/>
          <w:color w:val="auto"/>
          <w:sz w:val="32"/>
        </w:rPr>
        <w:t>0.67%</w:t>
      </w:r>
      <w:r>
        <w:rPr>
          <w:rFonts w:hint="eastAsia" w:eastAsia="方正仿宋简体"/>
          <w:color w:val="auto"/>
          <w:sz w:val="32"/>
        </w:rPr>
        <w:t>；干线公路网用地红线用地规模约为</w:t>
      </w:r>
      <w:r>
        <w:rPr>
          <w:rFonts w:eastAsia="方正仿宋简体"/>
          <w:color w:val="auto"/>
          <w:sz w:val="32"/>
        </w:rPr>
        <w:t>1720.37</w:t>
      </w:r>
      <w:r>
        <w:rPr>
          <w:rFonts w:hint="eastAsia" w:eastAsia="方正仿宋简体"/>
          <w:color w:val="auto"/>
          <w:sz w:val="32"/>
        </w:rPr>
        <w:t>公顷，占全区国土面积的</w:t>
      </w:r>
      <w:r>
        <w:rPr>
          <w:rFonts w:eastAsia="方正仿宋简体"/>
          <w:color w:val="auto"/>
          <w:sz w:val="32"/>
        </w:rPr>
        <w:t>1.01%</w:t>
      </w:r>
      <w:r>
        <w:rPr>
          <w:rFonts w:hint="eastAsia" w:eastAsia="方正仿宋简体"/>
          <w:color w:val="auto"/>
          <w:sz w:val="32"/>
        </w:rPr>
        <w:t>。</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高速公路网用地红线占用生态保护红线面积约</w:t>
      </w:r>
      <w:r>
        <w:rPr>
          <w:rFonts w:eastAsia="方正仿宋简体"/>
          <w:color w:val="auto"/>
          <w:sz w:val="32"/>
        </w:rPr>
        <w:t>66.19</w:t>
      </w:r>
      <w:r>
        <w:rPr>
          <w:rFonts w:hint="eastAsia" w:eastAsia="方正仿宋简体"/>
          <w:color w:val="auto"/>
          <w:sz w:val="32"/>
        </w:rPr>
        <w:t>公顷，其中水源涵养红线</w:t>
      </w:r>
      <w:r>
        <w:rPr>
          <w:rFonts w:eastAsia="方正仿宋简体"/>
          <w:color w:val="auto"/>
          <w:sz w:val="32"/>
        </w:rPr>
        <w:t>38.42</w:t>
      </w:r>
      <w:r>
        <w:rPr>
          <w:rFonts w:hint="eastAsia" w:eastAsia="方正仿宋简体"/>
          <w:color w:val="auto"/>
          <w:sz w:val="32"/>
        </w:rPr>
        <w:t>公顷、水土保持红线</w:t>
      </w:r>
      <w:r>
        <w:rPr>
          <w:rFonts w:eastAsia="方正仿宋简体"/>
          <w:color w:val="auto"/>
          <w:sz w:val="32"/>
        </w:rPr>
        <w:t>25.76</w:t>
      </w:r>
      <w:r>
        <w:rPr>
          <w:rFonts w:hint="eastAsia" w:eastAsia="方正仿宋简体"/>
          <w:color w:val="auto"/>
          <w:sz w:val="32"/>
        </w:rPr>
        <w:t>公顷、红树林红线</w:t>
      </w:r>
      <w:r>
        <w:rPr>
          <w:rFonts w:eastAsia="方正仿宋简体"/>
          <w:color w:val="auto"/>
          <w:sz w:val="32"/>
        </w:rPr>
        <w:t>2.02</w:t>
      </w:r>
      <w:r>
        <w:rPr>
          <w:rFonts w:hint="eastAsia" w:eastAsia="方正仿宋简体"/>
          <w:color w:val="auto"/>
          <w:sz w:val="32"/>
        </w:rPr>
        <w:t>公顷，涉及的自然保护地主要包括地质公园、湿地公园、森林公园；占用永久基本农田面积约</w:t>
      </w:r>
      <w:r>
        <w:rPr>
          <w:rFonts w:eastAsia="方正仿宋简体"/>
          <w:color w:val="auto"/>
          <w:sz w:val="32"/>
        </w:rPr>
        <w:t>171.43</w:t>
      </w:r>
      <w:r>
        <w:rPr>
          <w:rFonts w:hint="eastAsia" w:eastAsia="方正仿宋简体"/>
          <w:color w:val="auto"/>
          <w:sz w:val="32"/>
        </w:rPr>
        <w:t>公顷，其中水田</w:t>
      </w:r>
      <w:r>
        <w:rPr>
          <w:rFonts w:eastAsia="方正仿宋简体"/>
          <w:color w:val="auto"/>
          <w:sz w:val="32"/>
        </w:rPr>
        <w:t>151.66</w:t>
      </w:r>
      <w:r>
        <w:rPr>
          <w:rFonts w:hint="eastAsia" w:eastAsia="方正仿宋简体"/>
          <w:color w:val="auto"/>
          <w:sz w:val="32"/>
        </w:rPr>
        <w:t>公顷，水浇地</w:t>
      </w:r>
      <w:r>
        <w:rPr>
          <w:rFonts w:eastAsia="方正仿宋简体"/>
          <w:color w:val="auto"/>
          <w:sz w:val="32"/>
        </w:rPr>
        <w:t>4.07</w:t>
      </w:r>
      <w:r>
        <w:rPr>
          <w:rFonts w:hint="eastAsia" w:eastAsia="方正仿宋简体"/>
          <w:color w:val="auto"/>
          <w:sz w:val="32"/>
        </w:rPr>
        <w:t>公顷，旱地</w:t>
      </w:r>
      <w:r>
        <w:rPr>
          <w:rFonts w:eastAsia="方正仿宋简体"/>
          <w:color w:val="auto"/>
          <w:sz w:val="32"/>
        </w:rPr>
        <w:t>15.69</w:t>
      </w:r>
      <w:r>
        <w:rPr>
          <w:rFonts w:hint="eastAsia" w:eastAsia="方正仿宋简体"/>
          <w:color w:val="auto"/>
          <w:sz w:val="32"/>
        </w:rPr>
        <w:t>公顷；占用城镇开发边界面积约</w:t>
      </w:r>
      <w:r>
        <w:rPr>
          <w:rFonts w:eastAsia="方正仿宋简体"/>
          <w:color w:val="auto"/>
          <w:sz w:val="32"/>
        </w:rPr>
        <w:t>121.38</w:t>
      </w:r>
      <w:r>
        <w:rPr>
          <w:rFonts w:hint="eastAsia" w:eastAsia="方正仿宋简体"/>
          <w:color w:val="auto"/>
          <w:sz w:val="32"/>
        </w:rPr>
        <w:t>公顷，其中城镇集中建设区</w:t>
      </w:r>
      <w:r>
        <w:rPr>
          <w:rFonts w:eastAsia="方正仿宋简体"/>
          <w:color w:val="auto"/>
          <w:sz w:val="32"/>
        </w:rPr>
        <w:t>82.05</w:t>
      </w:r>
      <w:r>
        <w:rPr>
          <w:rFonts w:hint="eastAsia" w:eastAsia="方正仿宋简体"/>
          <w:color w:val="auto"/>
          <w:sz w:val="32"/>
        </w:rPr>
        <w:t>公顷，城镇弹性发展区</w:t>
      </w:r>
      <w:r>
        <w:rPr>
          <w:rFonts w:eastAsia="方正仿宋简体"/>
          <w:color w:val="auto"/>
          <w:sz w:val="32"/>
        </w:rPr>
        <w:t>39.32</w:t>
      </w:r>
      <w:r>
        <w:rPr>
          <w:rFonts w:hint="eastAsia" w:eastAsia="方正仿宋简体"/>
          <w:color w:val="auto"/>
          <w:sz w:val="32"/>
        </w:rPr>
        <w:t>公顷。</w:t>
      </w:r>
    </w:p>
    <w:p>
      <w:pPr>
        <w:pStyle w:val="6"/>
        <w:adjustRightInd w:val="0"/>
        <w:snapToGrid w:val="0"/>
        <w:spacing w:line="570" w:lineRule="exact"/>
        <w:ind w:firstLine="640"/>
        <w:rPr>
          <w:rFonts w:eastAsia="方正仿宋简体"/>
          <w:color w:val="auto"/>
          <w:sz w:val="32"/>
        </w:rPr>
        <w:sectPr>
          <w:pgSz w:w="11906" w:h="16838"/>
          <w:pgMar w:top="1440" w:right="1800" w:bottom="1440" w:left="1800" w:header="851" w:footer="992" w:gutter="0"/>
          <w:cols w:space="425" w:num="1"/>
          <w:docGrid w:type="lines" w:linePitch="312" w:charSpace="0"/>
        </w:sectPr>
      </w:pPr>
      <w:r>
        <w:rPr>
          <w:rFonts w:hint="eastAsia" w:eastAsia="方正仿宋简体"/>
          <w:color w:val="auto"/>
          <w:sz w:val="32"/>
        </w:rPr>
        <w:t>干线公路网用地红线占用生态保护红线面积约</w:t>
      </w:r>
      <w:r>
        <w:rPr>
          <w:rFonts w:eastAsia="方正仿宋简体"/>
          <w:color w:val="auto"/>
          <w:sz w:val="32"/>
        </w:rPr>
        <w:t>40.52</w:t>
      </w:r>
      <w:r>
        <w:rPr>
          <w:rFonts w:hint="eastAsia" w:eastAsia="方正仿宋简体"/>
          <w:color w:val="auto"/>
          <w:sz w:val="32"/>
        </w:rPr>
        <w:t>公顷，其中水源涵养红线</w:t>
      </w:r>
      <w:r>
        <w:rPr>
          <w:rFonts w:eastAsia="方正仿宋简体"/>
          <w:color w:val="auto"/>
          <w:sz w:val="32"/>
        </w:rPr>
        <w:t>4.42</w:t>
      </w:r>
      <w:r>
        <w:rPr>
          <w:rFonts w:hint="eastAsia" w:eastAsia="方正仿宋简体"/>
          <w:color w:val="auto"/>
          <w:sz w:val="32"/>
        </w:rPr>
        <w:t>公顷、水土保持红线</w:t>
      </w:r>
      <w:r>
        <w:rPr>
          <w:rFonts w:eastAsia="方正仿宋简体"/>
          <w:color w:val="auto"/>
          <w:sz w:val="32"/>
        </w:rPr>
        <w:t>35.60</w:t>
      </w:r>
      <w:r>
        <w:rPr>
          <w:rFonts w:hint="eastAsia" w:eastAsia="方正仿宋简体"/>
          <w:color w:val="auto"/>
          <w:sz w:val="32"/>
        </w:rPr>
        <w:t>公顷、重要河口红线</w:t>
      </w:r>
      <w:r>
        <w:rPr>
          <w:rFonts w:eastAsia="方正仿宋简体"/>
          <w:color w:val="auto"/>
          <w:sz w:val="32"/>
        </w:rPr>
        <w:t>0.40</w:t>
      </w:r>
      <w:r>
        <w:rPr>
          <w:rFonts w:hint="eastAsia" w:eastAsia="方正仿宋简体"/>
          <w:color w:val="auto"/>
          <w:sz w:val="32"/>
        </w:rPr>
        <w:t>公顷，涉及的自然保护地主要包括地质公园、湿地公园、森林公园；占用永久基本农田面积约</w:t>
      </w:r>
      <w:r>
        <w:rPr>
          <w:rFonts w:eastAsia="方正仿宋简体"/>
          <w:color w:val="auto"/>
          <w:sz w:val="32"/>
        </w:rPr>
        <w:t>211.60</w:t>
      </w:r>
      <w:r>
        <w:rPr>
          <w:rFonts w:hint="eastAsia" w:eastAsia="方正仿宋简体"/>
          <w:color w:val="auto"/>
          <w:sz w:val="32"/>
        </w:rPr>
        <w:t>公顷，其中水田</w:t>
      </w:r>
      <w:r>
        <w:rPr>
          <w:rFonts w:eastAsia="方正仿宋简体"/>
          <w:color w:val="auto"/>
          <w:sz w:val="32"/>
        </w:rPr>
        <w:t>190.11</w:t>
      </w:r>
      <w:r>
        <w:rPr>
          <w:rFonts w:hint="eastAsia" w:eastAsia="方正仿宋简体"/>
          <w:color w:val="auto"/>
          <w:sz w:val="32"/>
        </w:rPr>
        <w:t>公顷，水浇地</w:t>
      </w:r>
      <w:r>
        <w:rPr>
          <w:rFonts w:eastAsia="方正仿宋简体"/>
          <w:color w:val="auto"/>
          <w:sz w:val="32"/>
        </w:rPr>
        <w:t>2.56</w:t>
      </w:r>
      <w:r>
        <w:rPr>
          <w:rFonts w:hint="eastAsia" w:eastAsia="方正仿宋简体"/>
          <w:color w:val="auto"/>
          <w:sz w:val="32"/>
        </w:rPr>
        <w:t>公顷，旱地</w:t>
      </w:r>
      <w:r>
        <w:rPr>
          <w:rFonts w:eastAsia="方正仿宋简体"/>
          <w:color w:val="auto"/>
          <w:sz w:val="32"/>
        </w:rPr>
        <w:t>18.96</w:t>
      </w:r>
      <w:r>
        <w:rPr>
          <w:rFonts w:hint="eastAsia" w:eastAsia="方正仿宋简体"/>
          <w:color w:val="auto"/>
          <w:sz w:val="32"/>
        </w:rPr>
        <w:t>公顷；占用城镇开发边界面积约</w:t>
      </w:r>
      <w:r>
        <w:rPr>
          <w:rFonts w:eastAsia="方正仿宋简体"/>
          <w:color w:val="auto"/>
          <w:sz w:val="32"/>
        </w:rPr>
        <w:t>339.92</w:t>
      </w:r>
      <w:r>
        <w:rPr>
          <w:rFonts w:hint="eastAsia" w:eastAsia="方正仿宋简体"/>
          <w:color w:val="auto"/>
          <w:sz w:val="32"/>
        </w:rPr>
        <w:t>公顷，其中城镇集中建设区</w:t>
      </w:r>
      <w:r>
        <w:rPr>
          <w:rFonts w:eastAsia="方正仿宋简体"/>
          <w:color w:val="auto"/>
          <w:sz w:val="32"/>
        </w:rPr>
        <w:t>233.26</w:t>
      </w:r>
      <w:r>
        <w:rPr>
          <w:rFonts w:hint="eastAsia" w:eastAsia="方正仿宋简体"/>
          <w:color w:val="auto"/>
          <w:sz w:val="32"/>
        </w:rPr>
        <w:t>公顷，城镇弹性发展区</w:t>
      </w:r>
      <w:r>
        <w:rPr>
          <w:rFonts w:eastAsia="方正仿宋简体"/>
          <w:color w:val="auto"/>
          <w:sz w:val="32"/>
        </w:rPr>
        <w:t>106.61</w:t>
      </w:r>
      <w:r>
        <w:rPr>
          <w:rFonts w:hint="eastAsia" w:eastAsia="方正仿宋简体"/>
          <w:color w:val="auto"/>
          <w:sz w:val="32"/>
        </w:rPr>
        <w:t>公顷。</w:t>
      </w:r>
    </w:p>
    <w:p>
      <w:pPr>
        <w:pStyle w:val="2"/>
        <w:keepNext w:val="0"/>
        <w:keepLines w:val="0"/>
        <w:spacing w:line="570" w:lineRule="exact"/>
        <w:textAlignment w:val="auto"/>
        <w:rPr>
          <w:rFonts w:ascii="Times New Roman" w:hAnsi="Times New Roman" w:eastAsia="方正小标宋简体"/>
          <w:b w:val="0"/>
          <w:sz w:val="44"/>
        </w:rPr>
      </w:pPr>
      <w:bookmarkStart w:id="54" w:name="_Toc117693202"/>
      <w:r>
        <w:rPr>
          <w:rFonts w:hint="eastAsia" w:ascii="Times New Roman" w:hAnsi="Times New Roman" w:eastAsia="方正小标宋简体"/>
          <w:b w:val="0"/>
          <w:sz w:val="44"/>
        </w:rPr>
        <w:t>第七章 近期行动计划</w:t>
      </w:r>
      <w:bookmarkEnd w:id="54"/>
    </w:p>
    <w:p>
      <w:pPr>
        <w:ind w:firstLine="560"/>
      </w:pP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55" w:name="_Toc117693203"/>
      <w:r>
        <w:rPr>
          <w:rFonts w:hint="eastAsia" w:ascii="黑体" w:hAnsi="黑体"/>
          <w:b w:val="0"/>
          <w:bCs w:val="0"/>
          <w:kern w:val="0"/>
          <w:szCs w:val="20"/>
        </w:rPr>
        <w:t>第一节 加快建设融湾接带高快速主骨架网</w:t>
      </w:r>
      <w:bookmarkEnd w:id="55"/>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推进高速铁路建设，积极主动配合做好广湛高铁各项工作，全力配合阳江市推动谋划深珠江阳高铁（赣深高铁西延），全面对接“双区”和横琴、前海两个合作区建设；积极谋划城市轨道交通，提前谋划有轨电车2号线（阳江北站-阳东站），进一步加强阳东与中心城区、银岭工业园等的联系；加快完善互联互通高速公路网，积极推动西部沿海高速阳江南联络线、西部沿海高速公路新洲互通立交工程、大沟互通立交工程开工建设，提前谋划珠海至阳江高速公路阳东段、沈海高速公路阳东支线、高明至阳东高速等项目，支撑阳东早日构建“三纵三横”的高速公路网格局。</w:t>
      </w:r>
    </w:p>
    <w:p>
      <w:pPr>
        <w:pStyle w:val="3"/>
        <w:keepNext w:val="0"/>
        <w:keepLines w:val="0"/>
        <w:widowControl w:val="0"/>
        <w:adjustRightInd w:val="0"/>
        <w:snapToGrid w:val="0"/>
        <w:spacing w:before="0" w:after="0" w:line="570" w:lineRule="exact"/>
        <w:jc w:val="center"/>
        <w:rPr>
          <w:rFonts w:ascii="黑体" w:hAnsi="黑体" w:eastAsia="楷体"/>
          <w:b w:val="0"/>
          <w:bCs w:val="0"/>
          <w:spacing w:val="-10"/>
          <w:kern w:val="0"/>
          <w:szCs w:val="20"/>
        </w:rPr>
      </w:pPr>
      <w:bookmarkStart w:id="56" w:name="_Toc117693204"/>
      <w:bookmarkStart w:id="57" w:name="_Toc89245759"/>
      <w:r>
        <w:rPr>
          <w:rFonts w:hint="eastAsia" w:ascii="黑体" w:hAnsi="黑体"/>
          <w:b w:val="0"/>
          <w:bCs w:val="0"/>
          <w:spacing w:val="-10"/>
          <w:kern w:val="0"/>
          <w:szCs w:val="20"/>
        </w:rPr>
        <w:t>第二节 加快构建阳东城区与阳江市区一体高效的快速路网</w:t>
      </w:r>
      <w:bookmarkEnd w:id="56"/>
      <w:bookmarkEnd w:id="57"/>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统筹城市快速路、主干路与高速公路、干线公路规划建设，打通城市道路微循环，进一步强化阳东城区与江城一体化发展区域、阳东中部产城融合带、阳东副中心合山镇、枢纽（阳江站、阳东站、合山机场）等重要经济节点和交通节点的交通组织能力。提速完成国道G325阳江市江城坪郊至轮水段改建工程、积极推动国道G228线阳江市良洞至雅韶段改建工程、国道G325阳东那龙至东城段改扩建工程、国道G228线平堤鱼鳞石桥至核电圆盘段改扩建工程等工程项目开展前期研究工作。加快构筑阳东与阳江市区一体化快捷骨架路网，锚固阳江东部地区发展“双芯”。</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58" w:name="_Toc89245760"/>
      <w:bookmarkStart w:id="59" w:name="_Toc117693205"/>
      <w:r>
        <w:rPr>
          <w:rFonts w:hint="eastAsia" w:ascii="黑体" w:hAnsi="黑体"/>
          <w:b w:val="0"/>
          <w:bCs w:val="0"/>
          <w:kern w:val="0"/>
          <w:szCs w:val="20"/>
        </w:rPr>
        <w:t>第三节 加快打造“五纵七横”普通干线网络</w:t>
      </w:r>
      <w:bookmarkEnd w:id="58"/>
      <w:bookmarkEnd w:id="59"/>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加快构建阳东区内“五纵七横”的普通干线网络，支撑阳东打造“一轴一带、一核三区”的总体空间格局。重点打造支撑合山镇外联内通，与高铁站无缝衔接的快速干线体系，加快推动省道S276线支线北惯大桥至阳东广雅路（华科国际）段公路新建工程、省道S276线支线北惯大桥至深茂铁路阳东站段公路新建工程开工建设，提前谋划国道G325线那龙高速出口至东城段，实现多条快速干线与阳东站无缝衔接，支撑合山打造成为城市发展副中心；建成省道S540线阳江雅韶至白沙段扩建（阳东段），重点推进省道S276线红丰珍珠至广湛高铁阳江北站段公路、省道S539线大八（阳春蟠龙交界）至塘坪段公路改建工程等项目，实现与高铁枢纽阳江站、阳江北站、阳春东站的高效衔接。重点实施重要节点联通改造工程，加强对连接高速公路出入口、县城、重点旅游景区、重要产业园区等重要节点的国省干线路段进行改造，重点推进阳东城区至沿海高速雅韶出口连接公路（二期）等项目，增强重要节点对外联系便捷性，提高区域辐射带动水平。</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加快完善路网结构等级，重点对现状尚未达到国道二级公路标准、省道三级公路标准的路段实施提级改造，加快建成国道G325线阳江市江城坪郊至轮水段改建工程、省道S297线合山至大沟改建工程、省道S386线那龙至长湖段公路改建工程、省道S539线大八（阳春蟠龙交界）至塘坪段公路改建工程，消除干线瓶颈，实现普通国道二级及以上比例、普通省道三级以上公路比例均达100%，打造覆盖更广泛、结构更优化、运行更高效、衔接更顺畅、行驶更安全、服务更优质的普通国省干线网络，增强国省干线运输保障功能。</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60" w:name="_Toc117693206"/>
      <w:r>
        <w:rPr>
          <w:rFonts w:hint="eastAsia" w:ascii="黑体" w:hAnsi="黑体"/>
          <w:b w:val="0"/>
          <w:bCs w:val="0"/>
          <w:kern w:val="0"/>
          <w:szCs w:val="20"/>
        </w:rPr>
        <w:t>第四节 加快建设助力乡村振兴的农村公路网</w:t>
      </w:r>
      <w:bookmarkEnd w:id="60"/>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围绕农业农村现代化的乡村振兴战略总目标，继续从提升路网通达深度、加强交通网络衔接以及推动“农村公路+产业”融合三个方面完善农村公路网布局。中部和沿海片区重点推动农村路网从“树状”向“网状”转型，基本消除跨乡镇和县际瓶颈路道，畅通区域“微循环”，将中心城区、中心镇交通融入全市、全省交通大循环；北部山区重点提升农村公路网通达深度，增点扩面，覆盖更多节点，加快形成以县道为局域骨干、乡村公路为基础，以乡镇为中心，向乡村辐射的农村公路网。</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持续推进“四好农村路”高质量发展，逐步提高县、村道比例，降低乡道比例，因地制宜推进农村公路差异化发展，促进农村公路网络结构和布局更加合理。畅通乡镇、建制村通达道路，大力实施县道网提档升级工程，基本实现具备条件通建制村公路由“单车道改双车道”，满足农村地区日益增长的交通出行需求和乡村振兴发展需要。提升衔接高速公路、普通国省道的农村公路等级，基本实现衔接高速公路的农村公路路段技术水平达三级及以上,基本实现衔接普通国道的农村公路路段为四级及以上双车道公路，逐步消除制约农村发展的交通瓶颈。积极推进公路安全生命防护工程、危桥改造、农村公路大中修工程等项目建设工作，持续提升农村公路网安全水平，有效保障人民群众的出行安全。创建一批精品示范农村公路，打造阳东“四好农村路”省级示范县发展范本。</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61" w:name="_Toc117693207"/>
      <w:r>
        <w:rPr>
          <w:rFonts w:hint="eastAsia" w:ascii="黑体" w:hAnsi="黑体"/>
          <w:b w:val="0"/>
          <w:bCs w:val="0"/>
          <w:kern w:val="0"/>
          <w:szCs w:val="20"/>
        </w:rPr>
        <w:t>第五节 加快打造阳东特色旅游交通</w:t>
      </w:r>
      <w:bookmarkEnd w:id="61"/>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开展阳东区旅游公路规划，分别依托滨海旅游公路、国道G325、省道S386横向串联南部滨海旅游产业片、中部休闲养生旅游产业片区以及北部生态旅游产业片区，依托省道S297、省道S276等支撑纵向山海联动，规划打造滨海旅游与山区生态旅游“山海联动”的阳东特色旅游公路网，形成高品质错位和联动发展模式，支撑阳东旅游业全区域、全要素、全产业链快速发展。</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建设以滨海旅游公路为龙头的旅游公路，加快推动广东滨海旅游公路阳江雅韶至山外东段公路工程（阳东段）开工建设，提前谋划广东滨海旅游公路阳江东平至雅韶段公路工程（阳东段）。完善滨海旅游公路支线及滨海旅游景点的最后一公里，将东平镇、雅韶镇和大沟镇海洋、沙滩、古村落等特色旅游景点以及核电、陆（海）上风电等特色产业进行有机串联，提升滨海旅游公路服务水平。以乡村旅游为突破口，依托革命老区、名人故里、乡土文化、田园风光、观光农业等农村特色旅游资源，规划建设省级精品乡村旅游线路。加快旅游公路配套设施建设，逐步完善自驾车房车营地、充电桩、自行车道、绿道、停车区、服务区、公路驿站、观光平台等旅游公路沿线配套服务设施，构建舒适、便捷、特色的慢游公路网络。开通旅游专线、旅游包车、共享汽车等多样化交通服务，构建便捷、快速、舒适的全域旅游交通网络。</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62" w:name="_Toc117693208"/>
      <w:r>
        <w:rPr>
          <w:rFonts w:hint="eastAsia" w:ascii="黑体" w:hAnsi="黑体"/>
          <w:b w:val="0"/>
          <w:bCs w:val="0"/>
          <w:kern w:val="0"/>
          <w:szCs w:val="20"/>
        </w:rPr>
        <w:t>第六节 加快建设现代化综合交通枢纽</w:t>
      </w:r>
      <w:bookmarkEnd w:id="62"/>
    </w:p>
    <w:p>
      <w:pPr>
        <w:pStyle w:val="6"/>
        <w:adjustRightInd w:val="0"/>
        <w:snapToGrid w:val="0"/>
        <w:spacing w:line="550" w:lineRule="exact"/>
        <w:ind w:firstLine="640"/>
        <w:rPr>
          <w:rFonts w:eastAsia="方正仿宋简体"/>
          <w:color w:val="auto"/>
          <w:sz w:val="32"/>
        </w:rPr>
      </w:pPr>
      <w:r>
        <w:rPr>
          <w:rFonts w:hint="eastAsia" w:eastAsia="方正仿宋简体"/>
          <w:color w:val="auto"/>
          <w:sz w:val="32"/>
        </w:rPr>
        <w:t>建设一体化综合客运枢纽。以打造多种交通方式集于一体的“零换乘”立体综合交通枢纽为导向，依托区内已建和规划的高铁、市域铁路、客货运站场及公路，加快形成一体高效的综合交通枢纽，逐步推进阳东构建“二主三辅”的综合交通客运枢纽格局。</w:t>
      </w:r>
    </w:p>
    <w:p>
      <w:pPr>
        <w:pStyle w:val="6"/>
        <w:adjustRightInd w:val="0"/>
        <w:snapToGrid w:val="0"/>
        <w:spacing w:line="550" w:lineRule="exact"/>
        <w:ind w:firstLine="640"/>
        <w:rPr>
          <w:rFonts w:eastAsia="方正仿宋简体"/>
          <w:color w:val="auto"/>
          <w:sz w:val="32"/>
        </w:rPr>
      </w:pPr>
      <w:r>
        <w:rPr>
          <w:rFonts w:hint="eastAsia" w:eastAsia="方正仿宋简体"/>
          <w:color w:val="auto"/>
          <w:sz w:val="32"/>
        </w:rPr>
        <w:t>构建功能完善的综合货运枢纽。统筹公路货运枢纽布局，进一步加强与产业集聚区等的有效对接，鼓励传统货运场站向物流园区转型升级。加快谋划合山物流中心和阳东物流中心，为阳东中部工业经济发展区内企业生产提供储运、配送、车辆停放等物流配套服务。培育壮大一批有竞争力的现代物流企业，重点推进制造业物流、城市配送物流和农产品冷链物流发展，提升全区现代物流业的整体水平。</w:t>
      </w:r>
    </w:p>
    <w:p>
      <w:pPr>
        <w:pStyle w:val="6"/>
        <w:adjustRightInd w:val="0"/>
        <w:snapToGrid w:val="0"/>
        <w:spacing w:line="550" w:lineRule="exact"/>
        <w:ind w:firstLine="640"/>
        <w:rPr>
          <w:rFonts w:eastAsia="方正仿宋简体"/>
          <w:color w:val="auto"/>
          <w:sz w:val="32"/>
        </w:rPr>
      </w:pPr>
      <w:r>
        <w:rPr>
          <w:rFonts w:hint="eastAsia" w:eastAsia="方正仿宋简体"/>
          <w:color w:val="auto"/>
          <w:sz w:val="32"/>
        </w:rPr>
        <w:t>完善港口基础设施。加快推进港口码头基础设施建设，积极谋划渔港货运码头和客运码头。一是按国家级中心渔港标准升级东平渔港，改善和提升东平港的泊位、货场和入港道路等硬件设施。引导小规模港口的货源向东平港，逐步实现货运港的规模经济。发挥中心渔港的渔业服务和带动作用，逐步推动东平港成为地区渔业交通枢纽。二是充分发挥国家二类口岸的功能作用，完善配套设施建设，结合中心渔港布局，规划旅游客运码头，适时开通从东平镇到阳江市、海陵、闸坡的客运航线；推进北津港未来逐步转向以旅游客运服务为主，重点发展旅游、休闲、观光客运服务，支撑发展沿海旅游业。</w:t>
      </w:r>
    </w:p>
    <w:p>
      <w:pPr>
        <w:pStyle w:val="6"/>
        <w:adjustRightInd w:val="0"/>
        <w:snapToGrid w:val="0"/>
        <w:spacing w:line="550" w:lineRule="exact"/>
        <w:ind w:firstLine="640"/>
        <w:rPr>
          <w:rFonts w:eastAsia="方正仿宋简体"/>
          <w:color w:val="auto"/>
          <w:sz w:val="32"/>
        </w:rPr>
      </w:pPr>
      <w:r>
        <w:rPr>
          <w:rFonts w:hint="eastAsia" w:eastAsia="方正仿宋简体"/>
          <w:color w:val="auto"/>
          <w:sz w:val="32"/>
        </w:rPr>
        <w:t>打造通用航空标杆。加快推进合山机场改扩建工程建设，打造华南地区通用航空标杆。加强与粤港澳大湾区、周边地市和邻近省份通用机场的合作，全力打造便捷的短途运输网络，推出合山机场至海南等多条航线，加强与周边地区的互联互通。</w:t>
      </w:r>
    </w:p>
    <w:p>
      <w:pPr>
        <w:pStyle w:val="3"/>
        <w:keepNext w:val="0"/>
        <w:keepLines w:val="0"/>
        <w:widowControl w:val="0"/>
        <w:adjustRightInd w:val="0"/>
        <w:snapToGrid w:val="0"/>
        <w:spacing w:before="0" w:after="0" w:line="550" w:lineRule="exact"/>
        <w:jc w:val="center"/>
        <w:rPr>
          <w:rFonts w:ascii="黑体" w:hAnsi="黑体" w:eastAsia="楷体"/>
          <w:b w:val="0"/>
          <w:bCs w:val="0"/>
          <w:kern w:val="0"/>
          <w:szCs w:val="20"/>
        </w:rPr>
      </w:pPr>
      <w:bookmarkStart w:id="63" w:name="_Toc117693209"/>
      <w:r>
        <w:rPr>
          <w:rFonts w:hint="eastAsia" w:ascii="黑体" w:hAnsi="黑体"/>
          <w:b w:val="0"/>
          <w:bCs w:val="0"/>
          <w:kern w:val="0"/>
          <w:szCs w:val="20"/>
        </w:rPr>
        <w:t>第七节 全面提升运输服务品质</w:t>
      </w:r>
      <w:bookmarkEnd w:id="63"/>
    </w:p>
    <w:p>
      <w:pPr>
        <w:pStyle w:val="6"/>
        <w:adjustRightInd w:val="0"/>
        <w:snapToGrid w:val="0"/>
        <w:spacing w:line="550" w:lineRule="exact"/>
        <w:ind w:firstLine="640"/>
        <w:rPr>
          <w:rFonts w:eastAsia="方正仿宋简体"/>
          <w:color w:val="auto"/>
          <w:sz w:val="32"/>
        </w:rPr>
      </w:pPr>
      <w:r>
        <w:rPr>
          <w:rFonts w:hint="eastAsia" w:eastAsia="方正仿宋简体"/>
          <w:color w:val="auto"/>
          <w:sz w:val="32"/>
        </w:rPr>
        <w:t>一是提升城市公交服务品质。积极落实《阳江市城市公共交通专项发展规划（2016-2030年）》，加快建设一批公交枢纽站、首末站及新能源电动公交车充电设施。进一步深化城乡交通运输一体化建设，不断优化创新城市公交及农村客运运营模式。二是提升农村客运均等化水平。持续推进农村公共交通均等化服务，优化农村客运网络，提高农村客运通达深度和安全水平。三是推进传统公路客运枢纽转型升级。鼓励传统客运站扩展服务功能，打造旅游集散中心。推进汽车客运站设置快件物流中心，构建小件快运网络，实现物流配送功能等。四是加快构建物流货运体系。重点支持合山镇建设高铁快运物流中心，逐步推进阳东形成以合山物流中心+阳东物流中心两大专业物流中心、城南物流配送中心和各基层站点组成并覆盖城乡的三级货物配送服务体系。五是促进货运站场与物流园区协同发展。六是构建高效快速运输体系。紧密结合交通运输基础设施发展，发挥产业集聚和带动效应，逐步形成覆盖城乡、配套衔接、布局合理的快递运输网络布局。</w:t>
      </w:r>
    </w:p>
    <w:p>
      <w:pPr>
        <w:pStyle w:val="6"/>
        <w:ind w:firstLine="640"/>
        <w:rPr>
          <w:rFonts w:eastAsia="方正仿宋简体"/>
          <w:color w:val="auto"/>
          <w:sz w:val="32"/>
        </w:rPr>
      </w:pPr>
    </w:p>
    <w:p>
      <w:pPr>
        <w:pStyle w:val="2"/>
        <w:spacing w:before="312" w:beforeLines="100" w:after="312" w:afterLines="100" w:line="240" w:lineRule="auto"/>
        <w:rPr>
          <w:rFonts w:hAnsi="黑体"/>
          <w:b w:val="0"/>
          <w:sz w:val="32"/>
        </w:rPr>
        <w:sectPr>
          <w:pgSz w:w="11906" w:h="16838"/>
          <w:pgMar w:top="1440" w:right="1800" w:bottom="1440" w:left="1800" w:header="851" w:footer="992" w:gutter="0"/>
          <w:cols w:space="425" w:num="1"/>
          <w:docGrid w:type="lines" w:linePitch="312" w:charSpace="0"/>
        </w:sectPr>
      </w:pPr>
      <w:bookmarkStart w:id="64" w:name="_Toc18657"/>
    </w:p>
    <w:p>
      <w:pPr>
        <w:pStyle w:val="2"/>
        <w:keepNext w:val="0"/>
        <w:keepLines w:val="0"/>
        <w:spacing w:line="570" w:lineRule="exact"/>
        <w:textAlignment w:val="auto"/>
        <w:rPr>
          <w:rFonts w:ascii="Times New Roman" w:hAnsi="Times New Roman" w:eastAsia="方正小标宋简体"/>
          <w:b w:val="0"/>
          <w:sz w:val="44"/>
        </w:rPr>
      </w:pPr>
      <w:bookmarkStart w:id="65" w:name="_Toc117693210"/>
      <w:r>
        <w:rPr>
          <w:rFonts w:hint="eastAsia" w:ascii="Times New Roman" w:hAnsi="Times New Roman" w:eastAsia="方正小标宋简体"/>
          <w:b w:val="0"/>
          <w:sz w:val="44"/>
        </w:rPr>
        <w:t>第八章 环境影响分析</w:t>
      </w:r>
      <w:bookmarkEnd w:id="65"/>
    </w:p>
    <w:p>
      <w:pPr>
        <w:ind w:firstLine="560"/>
      </w:pP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规划的实施可能会对部分区域生态环境产生影响，主要体现在资源能源消耗、生态影响、污染排放、气候变化四个方面。各类交通基础设施建设需要消耗一定的土地、岸线、通道资源。交通工程建设养护和运输活动可能对局部陆生和水生生态产生一定影响，特别是与部分自然保护区、国家公园、饮用水水源保护区、基本农田等环境敏感目标，以及生态保护红线存在空间冲突。各类交通基础设施和运输工具将产生一定废气、污水、噪声和固体垃圾等污染物，特别是机动车、船、飞机产生的大气污染和水运行业的危化品泄露泄漏风险，如未得到妥善处理，可能对区域环境和人群健康带来损害。综合交通运输活动将消耗大量能源，可能产生一定规模碳排放，影响气候变化。</w:t>
      </w:r>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阳东交通建设中需要进一步合理利用土地资源，严格遵守最严格的耕地保护制度，引导集约用地，提高土地利用率。除在本规划中注重提高整体运输效益，合理布设运输通道，减少对土地的占用外，在后续工作中还应注意：在项目立项和可行性研究阶段需要扎实做好调查研究和科学的分析论证，严格项目审批和土地、岸线、环保等准入，根据区域资源环境承载能力合理确定建设安排，选用合适的走廊，尽量减少占用耕地，避让基本农田和经济作物区。在工程设计阶段要依靠科技进步，创新设计理念，优化设计方案，积极引用新技术、新工艺、新材料，尽量利用废弃地、荒山和坡地，减少占用耕地。农村公路改建要贯彻因地制宜、充分利用旧路资源的原则，尽量在原有路基上加宽改造，尽量减少占地，保护基本农田。加强规划实施效果跟踪评估，针对生物多样性变化、交通工具尾气污染、港口站场污水及溢油风险等重要环境问题，开展阶段性环境跟踪监测，评价和优化规划。</w:t>
      </w:r>
    </w:p>
    <w:p>
      <w:pPr>
        <w:ind w:firstLine="640"/>
        <w:rPr>
          <w:rFonts w:eastAsia="方正仿宋简体"/>
          <w:sz w:val="32"/>
          <w:szCs w:val="24"/>
        </w:rPr>
      </w:pPr>
    </w:p>
    <w:p>
      <w:pPr>
        <w:ind w:firstLine="560"/>
      </w:pPr>
    </w:p>
    <w:p>
      <w:pPr>
        <w:ind w:firstLine="560"/>
        <w:sectPr>
          <w:pgSz w:w="11906" w:h="16838"/>
          <w:pgMar w:top="1440" w:right="1800" w:bottom="1440" w:left="1800" w:header="851" w:footer="992" w:gutter="0"/>
          <w:cols w:space="425" w:num="1"/>
          <w:docGrid w:type="lines" w:linePitch="312" w:charSpace="0"/>
        </w:sectPr>
      </w:pPr>
    </w:p>
    <w:p>
      <w:pPr>
        <w:pStyle w:val="2"/>
        <w:keepNext w:val="0"/>
        <w:keepLines w:val="0"/>
        <w:spacing w:line="570" w:lineRule="exact"/>
        <w:textAlignment w:val="auto"/>
        <w:rPr>
          <w:rFonts w:ascii="Times New Roman" w:hAnsi="Times New Roman" w:eastAsia="方正小标宋简体"/>
          <w:b w:val="0"/>
          <w:sz w:val="44"/>
        </w:rPr>
      </w:pPr>
      <w:bookmarkStart w:id="66" w:name="_Toc117693211"/>
      <w:r>
        <w:rPr>
          <w:rFonts w:hint="eastAsia" w:ascii="Times New Roman" w:hAnsi="Times New Roman" w:eastAsia="方正小标宋简体"/>
          <w:b w:val="0"/>
          <w:sz w:val="44"/>
        </w:rPr>
        <w:t>第九章 保障措施</w:t>
      </w:r>
      <w:bookmarkEnd w:id="64"/>
      <w:bookmarkEnd w:id="66"/>
    </w:p>
    <w:p>
      <w:pPr>
        <w:ind w:firstLine="560"/>
      </w:pPr>
    </w:p>
    <w:p>
      <w:pPr>
        <w:pStyle w:val="3"/>
        <w:keepNext w:val="0"/>
        <w:keepLines w:val="0"/>
        <w:widowControl w:val="0"/>
        <w:adjustRightInd w:val="0"/>
        <w:snapToGrid w:val="0"/>
        <w:spacing w:before="0" w:after="0" w:line="530" w:lineRule="exact"/>
        <w:jc w:val="center"/>
        <w:rPr>
          <w:rFonts w:ascii="黑体" w:hAnsi="黑体" w:eastAsia="楷体"/>
          <w:b w:val="0"/>
          <w:bCs w:val="0"/>
          <w:kern w:val="0"/>
          <w:szCs w:val="20"/>
        </w:rPr>
      </w:pPr>
      <w:bookmarkStart w:id="67" w:name="_Toc117693212"/>
      <w:r>
        <w:rPr>
          <w:rFonts w:hint="eastAsia" w:ascii="黑体" w:hAnsi="黑体"/>
          <w:b w:val="0"/>
          <w:bCs w:val="0"/>
          <w:kern w:val="0"/>
          <w:szCs w:val="20"/>
        </w:rPr>
        <w:t>第一节 确保规划组织落实</w:t>
      </w:r>
      <w:bookmarkEnd w:id="67"/>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实施重大项目带动战略，以增量投资促进综合交通运输结构调整优化。加强前期工作，储备重大项目，将规划的交通运输重点项目逐年纳入年度重点项目计划中，形成建成一批、开工一批、储备一批的滚动机制。加强各有关部门沟通配合，建立重大交通项目建设协调会商制度，及时研究协调重大项目前期工作中涉及土地、选址、环保、资金等方面的突出问题，按年度分解明确各有关部门的目标任务，确保规划确定的各项目标和任务有序推进。紧密结合发展实际，细化落实规划确定的主要目标和重点任务，统筹协调推进综合交通运输发展的重大项目、重大工程。将交通重大项目推进的相关工作任务完成情况纳入年度考核范畴，形成共同推进的工作格局，确保规划落到实处。</w:t>
      </w:r>
    </w:p>
    <w:p>
      <w:pPr>
        <w:pStyle w:val="3"/>
        <w:keepNext w:val="0"/>
        <w:keepLines w:val="0"/>
        <w:widowControl w:val="0"/>
        <w:adjustRightInd w:val="0"/>
        <w:snapToGrid w:val="0"/>
        <w:spacing w:before="0" w:after="0" w:line="530" w:lineRule="exact"/>
        <w:jc w:val="center"/>
        <w:rPr>
          <w:rFonts w:ascii="黑体" w:hAnsi="黑体" w:eastAsia="楷体"/>
          <w:b w:val="0"/>
          <w:bCs w:val="0"/>
          <w:kern w:val="0"/>
          <w:szCs w:val="20"/>
        </w:rPr>
      </w:pPr>
      <w:bookmarkStart w:id="68" w:name="_Toc117693213"/>
      <w:r>
        <w:rPr>
          <w:rFonts w:hint="eastAsia" w:ascii="黑体" w:hAnsi="黑体"/>
          <w:b w:val="0"/>
          <w:bCs w:val="0"/>
          <w:kern w:val="0"/>
          <w:szCs w:val="20"/>
        </w:rPr>
        <w:t>第二节 加强规划相互衔接</w:t>
      </w:r>
      <w:bookmarkEnd w:id="68"/>
    </w:p>
    <w:p>
      <w:pPr>
        <w:pStyle w:val="6"/>
        <w:adjustRightInd w:val="0"/>
        <w:snapToGrid w:val="0"/>
        <w:spacing w:line="530" w:lineRule="exact"/>
        <w:ind w:firstLine="640"/>
        <w:rPr>
          <w:rFonts w:eastAsia="方正仿宋简体"/>
          <w:color w:val="auto"/>
          <w:sz w:val="32"/>
        </w:rPr>
      </w:pPr>
      <w:r>
        <w:rPr>
          <w:rFonts w:hint="eastAsia" w:eastAsia="方正仿宋简体"/>
          <w:color w:val="auto"/>
          <w:sz w:val="32"/>
        </w:rPr>
        <w:t>强化规划在阳东交通运输发展中的纲领性和指导性作用，做好下一步开展的综合交通规划，加强各项指标对接。创新发展理念，依托现代信息技术，逐步加强交通运输发展规划与国民经济和社会发展规划、国土空间规划等的衔接，力争做到“多规合一”。规划建设的交通基础设施项目，纳入上层次规划中，做好项目线位、点位与国土空间规划“三区三线”的衔接，提前预留好交通建设项目需要空间廊道资源，确保外向通道项目顺利实施，形成促进综合运输体系发展的良好外部环境。</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69" w:name="_Toc117693214"/>
      <w:r>
        <w:rPr>
          <w:rFonts w:hint="eastAsia" w:ascii="黑体" w:hAnsi="黑体"/>
          <w:b w:val="0"/>
          <w:bCs w:val="0"/>
          <w:kern w:val="0"/>
          <w:szCs w:val="20"/>
        </w:rPr>
        <w:t>第三节 加大资金筹措力度</w:t>
      </w:r>
      <w:bookmarkEnd w:id="69"/>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强化财政资金引导，积极争取国家和省市专项投资补助，加大财政对交通运输建设与维护的投入，适度提高农村公路建设市级配套补助资金标准。拓宽融资渠道，统筹用好地方政府新增债券，完善政府和社会资本合作模式。加大项目推介力度，努力吸引社会资本投资，对具备条件的交通建设项目，积极探索采取PPP、政府购买服务等模式，以资本为纽带，积极吸纳社会资金，发挥交通投资平台的融资功能，创新资金保障方式，充分利用市场作用，保障交通建设项目的资金需求。</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70" w:name="_Toc117693215"/>
      <w:r>
        <w:rPr>
          <w:rFonts w:hint="eastAsia" w:ascii="黑体" w:hAnsi="黑体"/>
          <w:b w:val="0"/>
          <w:bCs w:val="0"/>
          <w:kern w:val="0"/>
          <w:szCs w:val="20"/>
        </w:rPr>
        <w:t>第四节</w:t>
      </w:r>
      <w:r>
        <w:rPr>
          <w:rFonts w:ascii="黑体" w:hAnsi="黑体"/>
          <w:b w:val="0"/>
          <w:bCs w:val="0"/>
          <w:kern w:val="0"/>
          <w:szCs w:val="20"/>
        </w:rPr>
        <w:t xml:space="preserve"> </w:t>
      </w:r>
      <w:r>
        <w:rPr>
          <w:rFonts w:hint="eastAsia" w:ascii="黑体" w:hAnsi="黑体"/>
          <w:b w:val="0"/>
          <w:bCs w:val="0"/>
          <w:kern w:val="0"/>
          <w:szCs w:val="20"/>
        </w:rPr>
        <w:t>强化项目用地保障</w:t>
      </w:r>
      <w:bookmarkEnd w:id="70"/>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切实保障交通基础设施建设用地，统一将综合交通运输建设用地纳入国土空间规划统筹。加强与自然资源等部门的对接，对符合条件的重点建设项目，优先安排用地指标。要积极争取将规划建设项目纳入省重点建设项目计划或市国民经济和社会发展规划，以符合按列入土地利用总体规划重大（重点）建设项目清单办理用地手续的条件。用足用活国家现行土地政策，保障重点交通建设项目用地。</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71" w:name="_Toc117693216"/>
      <w:r>
        <w:rPr>
          <w:rFonts w:hint="eastAsia" w:ascii="黑体" w:hAnsi="黑体"/>
          <w:b w:val="0"/>
          <w:bCs w:val="0"/>
          <w:kern w:val="0"/>
          <w:szCs w:val="20"/>
        </w:rPr>
        <w:t>第五节</w:t>
      </w:r>
      <w:r>
        <w:rPr>
          <w:rFonts w:ascii="黑体" w:hAnsi="黑体"/>
          <w:b w:val="0"/>
          <w:bCs w:val="0"/>
          <w:kern w:val="0"/>
          <w:szCs w:val="20"/>
        </w:rPr>
        <w:t xml:space="preserve"> </w:t>
      </w:r>
      <w:r>
        <w:rPr>
          <w:rFonts w:hint="eastAsia" w:ascii="黑体" w:hAnsi="黑体"/>
          <w:b w:val="0"/>
          <w:bCs w:val="0"/>
          <w:kern w:val="0"/>
          <w:szCs w:val="20"/>
        </w:rPr>
        <w:t>预留通信设施空间</w:t>
      </w:r>
      <w:bookmarkEnd w:id="71"/>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加强规划与地方通信基础设施建设规划衔接，在新建、改扩建的公路建设项目预留通信设施的建设空间、建设位置、用电容量及其配套资源；交通建设项目的建设，设计单位应当按照通信设施建设、设计标准和规范，将建（构）筑物内和建设项目用地范围内的通信管线、配线设施、基站和室内分布系统等所需的电信间、设备间、机房、管线、线缆、杆路等通信设施，以及电源、天线位置、天面空间等通信设施配建条件，纳入建设项目的设计文件，并与主体工程同时施工、同时验收。</w:t>
      </w:r>
    </w:p>
    <w:p>
      <w:pPr>
        <w:pStyle w:val="3"/>
        <w:keepNext w:val="0"/>
        <w:keepLines w:val="0"/>
        <w:widowControl w:val="0"/>
        <w:adjustRightInd w:val="0"/>
        <w:snapToGrid w:val="0"/>
        <w:spacing w:before="0" w:after="0" w:line="570" w:lineRule="exact"/>
        <w:jc w:val="center"/>
        <w:rPr>
          <w:rFonts w:ascii="黑体" w:hAnsi="黑体" w:eastAsia="楷体"/>
          <w:b w:val="0"/>
          <w:bCs w:val="0"/>
          <w:kern w:val="0"/>
          <w:szCs w:val="20"/>
        </w:rPr>
      </w:pPr>
      <w:bookmarkStart w:id="72" w:name="_Toc117693217"/>
      <w:r>
        <w:rPr>
          <w:rFonts w:hint="eastAsia" w:ascii="黑体" w:hAnsi="黑体"/>
          <w:b w:val="0"/>
          <w:bCs w:val="0"/>
          <w:kern w:val="0"/>
          <w:szCs w:val="20"/>
        </w:rPr>
        <w:t>第六节</w:t>
      </w:r>
      <w:r>
        <w:rPr>
          <w:rFonts w:ascii="黑体" w:hAnsi="黑体"/>
          <w:b w:val="0"/>
          <w:bCs w:val="0"/>
          <w:kern w:val="0"/>
          <w:szCs w:val="20"/>
        </w:rPr>
        <w:t xml:space="preserve"> </w:t>
      </w:r>
      <w:r>
        <w:rPr>
          <w:rFonts w:hint="eastAsia" w:ascii="黑体" w:hAnsi="黑体"/>
          <w:b w:val="0"/>
          <w:bCs w:val="0"/>
          <w:kern w:val="0"/>
          <w:szCs w:val="20"/>
        </w:rPr>
        <w:t>落实规划评估监督</w:t>
      </w:r>
      <w:bookmarkEnd w:id="72"/>
    </w:p>
    <w:p>
      <w:pPr>
        <w:pStyle w:val="6"/>
        <w:adjustRightInd w:val="0"/>
        <w:snapToGrid w:val="0"/>
        <w:spacing w:line="570" w:lineRule="exact"/>
        <w:ind w:firstLine="640"/>
        <w:rPr>
          <w:rFonts w:eastAsia="方正仿宋简体"/>
          <w:color w:val="auto"/>
          <w:sz w:val="32"/>
        </w:rPr>
      </w:pPr>
      <w:r>
        <w:rPr>
          <w:rFonts w:hint="eastAsia" w:eastAsia="方正仿宋简体"/>
          <w:color w:val="auto"/>
          <w:sz w:val="32"/>
        </w:rPr>
        <w:t>定期开展规划实施评估，依据形势变化进行动态调整或修订，加强重点项目监管，建立动态监测评价机制，及时解决实施中遇到的问题和困难，提出确实有效的应对措施和方法，进一步增强规划的指导性、操作性和实效性。建立健全工程质量管理体系，严格依照基建程序，加强项目前期研究、勘测设计、施工及交付使用等过程管理，确保建设工程投资省、质量好。</w:t>
      </w:r>
    </w:p>
    <w:p>
      <w:pPr>
        <w:pStyle w:val="25"/>
        <w:tabs>
          <w:tab w:val="left" w:pos="2352"/>
        </w:tabs>
        <w:ind w:firstLine="632"/>
        <w:jc w:val="both"/>
        <w:rPr>
          <w:rFonts w:cs="仿宋"/>
          <w:spacing w:val="-2"/>
          <w:lang w:eastAsia="zh-CN"/>
        </w:rPr>
        <w:sectPr>
          <w:pgSz w:w="11906" w:h="16838"/>
          <w:pgMar w:top="1440" w:right="1800" w:bottom="1440" w:left="1800" w:header="567" w:footer="1531" w:gutter="0"/>
          <w:cols w:space="425" w:num="1"/>
          <w:docGrid w:type="lines" w:linePitch="381" w:charSpace="0"/>
        </w:sectPr>
      </w:pPr>
    </w:p>
    <w:p>
      <w:pPr>
        <w:pStyle w:val="2"/>
        <w:keepNext w:val="0"/>
        <w:keepLines w:val="0"/>
        <w:spacing w:line="570" w:lineRule="exact"/>
        <w:textAlignment w:val="auto"/>
        <w:rPr>
          <w:rFonts w:hAnsi="黑体"/>
          <w:b w:val="0"/>
          <w:sz w:val="32"/>
          <w:szCs w:val="32"/>
        </w:rPr>
      </w:pPr>
      <w:bookmarkStart w:id="73" w:name="_Toc112854897"/>
      <w:bookmarkStart w:id="74" w:name="_Toc100302732"/>
      <w:bookmarkStart w:id="75" w:name="_Toc117693218"/>
      <w:bookmarkStart w:id="76" w:name="_Toc109811261"/>
      <w:bookmarkStart w:id="77" w:name="_Toc99633321"/>
      <w:r>
        <w:rPr>
          <w:rFonts w:hint="eastAsia" w:ascii="Times New Roman" w:hAnsi="Times New Roman" w:eastAsia="方正小标宋简体"/>
          <w:b w:val="0"/>
          <w:sz w:val="32"/>
          <w:szCs w:val="32"/>
        </w:rPr>
        <w:t xml:space="preserve">附表一 </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阳东区综合交通运输通道布局一览表</w:t>
      </w:r>
      <w:bookmarkEnd w:id="73"/>
      <w:bookmarkEnd w:id="74"/>
      <w:bookmarkEnd w:id="75"/>
      <w:bookmarkEnd w:id="76"/>
      <w:bookmarkEnd w:id="77"/>
    </w:p>
    <w:tbl>
      <w:tblPr>
        <w:tblStyle w:val="67"/>
        <w:tblW w:w="8594" w:type="dxa"/>
        <w:tblInd w:w="85"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49"/>
        <w:gridCol w:w="1295"/>
        <w:gridCol w:w="3969"/>
        <w:gridCol w:w="21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5" w:hRule="atLeast"/>
          <w:tblHeader/>
        </w:trPr>
        <w:tc>
          <w:tcPr>
            <w:tcW w:w="1149"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名  称</w:t>
            </w:r>
          </w:p>
        </w:tc>
        <w:tc>
          <w:tcPr>
            <w:tcW w:w="1295"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连接节点</w:t>
            </w:r>
          </w:p>
        </w:tc>
        <w:tc>
          <w:tcPr>
            <w:tcW w:w="3969"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通道功能</w:t>
            </w:r>
          </w:p>
        </w:tc>
        <w:tc>
          <w:tcPr>
            <w:tcW w:w="2181"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重大交通线位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72" w:hRule="atLeast"/>
        </w:trPr>
        <w:tc>
          <w:tcPr>
            <w:tcW w:w="1149" w:type="dxa"/>
            <w:vAlign w:val="center"/>
          </w:tcPr>
          <w:p>
            <w:pPr>
              <w:adjustRightInd w:val="0"/>
              <w:snapToGrid w:val="0"/>
              <w:spacing w:line="240" w:lineRule="auto"/>
              <w:ind w:firstLine="0" w:firstLineChars="0"/>
              <w:rPr>
                <w:rFonts w:eastAsia="方正仿宋简体"/>
                <w:b/>
                <w:kern w:val="0"/>
                <w:sz w:val="21"/>
                <w:szCs w:val="21"/>
              </w:rPr>
            </w:pPr>
            <w:r>
              <w:rPr>
                <w:rFonts w:eastAsia="方正仿宋简体"/>
                <w:b/>
                <w:kern w:val="0"/>
                <w:sz w:val="21"/>
                <w:szCs w:val="21"/>
              </w:rPr>
              <w:t>通道一：广佛-江门-阳东通道</w:t>
            </w:r>
          </w:p>
        </w:tc>
        <w:tc>
          <w:tcPr>
            <w:tcW w:w="1295"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广州、佛山、江门、阳东</w:t>
            </w:r>
          </w:p>
        </w:tc>
        <w:tc>
          <w:tcPr>
            <w:tcW w:w="3969"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国家综合运输通道（沿海运输通道）重要组成部分，粤港澳大湾区广佛极核联动海南自贸区的重要运输通道；衔接珠三角枢纽（广州新）机场的重要集散通道；阳东融入粤港澳大湾区广佛发展极，提升阳东在阳江及珠江口西岸都市圈的交通区位。</w:t>
            </w:r>
          </w:p>
        </w:tc>
        <w:tc>
          <w:tcPr>
            <w:tcW w:w="2181"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铁路：深茂铁路、广湛高铁等</w:t>
            </w:r>
          </w:p>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公路：沈海高速、高明至阳东高速、国道G325等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77" w:hRule="atLeast"/>
        </w:trPr>
        <w:tc>
          <w:tcPr>
            <w:tcW w:w="1149" w:type="dxa"/>
            <w:vAlign w:val="center"/>
          </w:tcPr>
          <w:p>
            <w:pPr>
              <w:adjustRightInd w:val="0"/>
              <w:snapToGrid w:val="0"/>
              <w:spacing w:line="240" w:lineRule="auto"/>
              <w:ind w:firstLine="0" w:firstLineChars="0"/>
              <w:rPr>
                <w:rFonts w:eastAsia="方正仿宋简体"/>
                <w:b/>
                <w:kern w:val="0"/>
                <w:sz w:val="21"/>
                <w:szCs w:val="21"/>
              </w:rPr>
            </w:pPr>
            <w:r>
              <w:rPr>
                <w:rFonts w:eastAsia="方正仿宋简体"/>
                <w:b/>
                <w:kern w:val="0"/>
                <w:sz w:val="21"/>
                <w:szCs w:val="21"/>
              </w:rPr>
              <w:t>通道二：深港-珠澳-中山-珠海-阳东通道</w:t>
            </w:r>
          </w:p>
        </w:tc>
        <w:tc>
          <w:tcPr>
            <w:tcW w:w="1295"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深圳、中山、珠海、江门、阳东</w:t>
            </w:r>
          </w:p>
        </w:tc>
        <w:tc>
          <w:tcPr>
            <w:tcW w:w="3969"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粤港澳大湾区与北部湾城市群核心城市之间的重要运输通道；阳东融入大湾区核心城市深港、珠澳的重要运输通道；串联沿海港口的集疏运通道，支撑沿海经济带发展；提升阳东在阳江及珠江口西岸都市圈的交通区位，助力阳东打造成沿海经济带重要交通节点。</w:t>
            </w:r>
          </w:p>
        </w:tc>
        <w:tc>
          <w:tcPr>
            <w:tcW w:w="2181"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铁路：珠海至阳江高铁、深茂铁路等；公路：西部沿海高速公路、深圳至南宁高速公路、广东滨海旅游公路、国道G228、国道G325等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6" w:hRule="atLeast"/>
        </w:trPr>
        <w:tc>
          <w:tcPr>
            <w:tcW w:w="1149" w:type="dxa"/>
            <w:vAlign w:val="center"/>
          </w:tcPr>
          <w:p>
            <w:pPr>
              <w:adjustRightInd w:val="0"/>
              <w:snapToGrid w:val="0"/>
              <w:spacing w:line="240" w:lineRule="auto"/>
              <w:ind w:firstLine="0" w:firstLineChars="0"/>
              <w:rPr>
                <w:rFonts w:eastAsia="方正仿宋简体"/>
                <w:b/>
                <w:kern w:val="0"/>
                <w:sz w:val="21"/>
                <w:szCs w:val="21"/>
              </w:rPr>
            </w:pPr>
            <w:r>
              <w:rPr>
                <w:rFonts w:eastAsia="方正仿宋简体"/>
                <w:b/>
                <w:kern w:val="0"/>
                <w:sz w:val="21"/>
                <w:szCs w:val="21"/>
              </w:rPr>
              <w:t>通道三：阳东-阳江市区-茂名-湛江-海口运输通道</w:t>
            </w:r>
          </w:p>
        </w:tc>
        <w:tc>
          <w:tcPr>
            <w:tcW w:w="1295"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阳东、阳江市区、茂名、湛江、海口</w:t>
            </w:r>
          </w:p>
        </w:tc>
        <w:tc>
          <w:tcPr>
            <w:tcW w:w="3969"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国家综合运输通道（沿海运输通道）重要组成部分，粤港澳大湾区广佛极核联动北部湾城市群湛江海口极核的重要运输通道；衔接湛江吴川机场的集散通道；阳江市区与阳东城区一体化发展的重要支撑。</w:t>
            </w:r>
          </w:p>
        </w:tc>
        <w:tc>
          <w:tcPr>
            <w:tcW w:w="2181"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铁路：深茂铁路、广湛高铁、阳茂湛滨海城际等；公路：沈海高速公路、西部沿海高速阳江南联络线、国道G228等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83" w:hRule="atLeast"/>
        </w:trPr>
        <w:tc>
          <w:tcPr>
            <w:tcW w:w="1149" w:type="dxa"/>
            <w:vAlign w:val="center"/>
          </w:tcPr>
          <w:p>
            <w:pPr>
              <w:adjustRightInd w:val="0"/>
              <w:snapToGrid w:val="0"/>
              <w:spacing w:line="240" w:lineRule="auto"/>
              <w:ind w:firstLine="0" w:firstLineChars="0"/>
              <w:rPr>
                <w:rFonts w:eastAsia="方正仿宋简体"/>
                <w:b/>
                <w:kern w:val="0"/>
                <w:sz w:val="21"/>
                <w:szCs w:val="21"/>
              </w:rPr>
            </w:pPr>
            <w:r>
              <w:rPr>
                <w:rFonts w:eastAsia="方正仿宋简体"/>
                <w:b/>
                <w:kern w:val="0"/>
                <w:sz w:val="21"/>
                <w:szCs w:val="21"/>
              </w:rPr>
              <w:t>通道四：阳东-玉林-南宁运输通道</w:t>
            </w:r>
          </w:p>
        </w:tc>
        <w:tc>
          <w:tcPr>
            <w:tcW w:w="1295"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北部湾城市群核心城市南宁及重要节点城市玉林、阳东。</w:t>
            </w:r>
          </w:p>
        </w:tc>
        <w:tc>
          <w:tcPr>
            <w:tcW w:w="3969"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粤港澳大湾区与北部湾城市群核心城市之间的重要运输通道；阳东融入北部湾城市群核心城市的重要运输通道；实现阳东与阳春高效便捷联系的重要通道。</w:t>
            </w:r>
          </w:p>
        </w:tc>
        <w:tc>
          <w:tcPr>
            <w:tcW w:w="2181" w:type="dxa"/>
            <w:vAlign w:val="center"/>
          </w:tcPr>
          <w:p>
            <w:pPr>
              <w:adjustRightInd w:val="0"/>
              <w:snapToGrid w:val="0"/>
              <w:spacing w:line="240" w:lineRule="auto"/>
              <w:ind w:firstLine="0" w:firstLineChars="0"/>
              <w:rPr>
                <w:rFonts w:eastAsia="方正仿宋简体"/>
                <w:bCs/>
                <w:kern w:val="0"/>
                <w:sz w:val="21"/>
                <w:szCs w:val="21"/>
              </w:rPr>
            </w:pPr>
            <w:r>
              <w:rPr>
                <w:rFonts w:eastAsia="方正仿宋简体"/>
                <w:bCs/>
                <w:kern w:val="0"/>
                <w:sz w:val="21"/>
                <w:szCs w:val="21"/>
              </w:rPr>
              <w:t>铁路：阳阳铁路；公路：深圳至南宁高速公路、国道G325、国道G234等</w:t>
            </w:r>
          </w:p>
        </w:tc>
      </w:tr>
    </w:tbl>
    <w:p>
      <w:pPr>
        <w:spacing w:line="240" w:lineRule="auto"/>
        <w:ind w:firstLine="0" w:firstLineChars="0"/>
        <w:rPr>
          <w:rFonts w:ascii="仿宋" w:hAnsi="仿宋" w:cs="仿宋"/>
          <w:spacing w:val="-2"/>
          <w:kern w:val="0"/>
          <w:szCs w:val="28"/>
        </w:rPr>
      </w:pPr>
      <w:bookmarkStart w:id="78" w:name="_Toc117693219"/>
      <w:bookmarkStart w:id="79" w:name="_Toc99633322"/>
      <w:bookmarkStart w:id="80" w:name="_Toc112854898"/>
      <w:bookmarkStart w:id="81" w:name="_Toc100302733"/>
      <w:bookmarkStart w:id="82" w:name="_Toc109811262"/>
      <w:r>
        <w:rPr>
          <w:rFonts w:ascii="仿宋" w:hAnsi="仿宋" w:cs="仿宋"/>
          <w:b/>
          <w:spacing w:val="-2"/>
          <w:kern w:val="0"/>
          <w:szCs w:val="28"/>
        </w:rPr>
        <w:br w:type="page"/>
      </w:r>
    </w:p>
    <w:p>
      <w:pPr>
        <w:pStyle w:val="2"/>
        <w:keepNext w:val="0"/>
        <w:keepLines w:val="0"/>
        <w:spacing w:line="570" w:lineRule="exact"/>
        <w:textAlignment w:val="auto"/>
        <w:rPr>
          <w:rFonts w:hAnsi="黑体"/>
          <w:b w:val="0"/>
          <w:spacing w:val="-16"/>
          <w:sz w:val="32"/>
          <w:szCs w:val="32"/>
        </w:rPr>
      </w:pPr>
      <w:r>
        <w:rPr>
          <w:rFonts w:hint="eastAsia" w:ascii="Times New Roman" w:hAnsi="Times New Roman" w:eastAsia="方正小标宋简体"/>
          <w:b w:val="0"/>
          <w:sz w:val="32"/>
          <w:szCs w:val="32"/>
        </w:rPr>
        <w:t>附表二</w:t>
      </w:r>
      <w:r>
        <w:rPr>
          <w:rFonts w:ascii="Times New Roman" w:hAnsi="Times New Roman" w:eastAsia="方正小标宋简体"/>
          <w:b w:val="0"/>
          <w:sz w:val="32"/>
          <w:szCs w:val="32"/>
        </w:rPr>
        <w:t xml:space="preserve">  </w:t>
      </w:r>
      <w:r>
        <w:rPr>
          <w:rFonts w:hint="eastAsia" w:ascii="Times New Roman" w:hAnsi="Times New Roman" w:eastAsia="方正小标宋简体"/>
          <w:b w:val="0"/>
          <w:spacing w:val="-16"/>
          <w:sz w:val="32"/>
          <w:szCs w:val="32"/>
        </w:rPr>
        <w:t>阳东区高快速铁路网络布局规划一览表</w:t>
      </w:r>
      <w:bookmarkEnd w:id="78"/>
      <w:bookmarkEnd w:id="79"/>
      <w:bookmarkEnd w:id="80"/>
      <w:bookmarkEnd w:id="81"/>
      <w:bookmarkEnd w:id="82"/>
    </w:p>
    <w:tbl>
      <w:tblPr>
        <w:tblStyle w:val="67"/>
        <w:tblW w:w="978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8"/>
        <w:gridCol w:w="709"/>
        <w:gridCol w:w="709"/>
        <w:gridCol w:w="708"/>
        <w:gridCol w:w="709"/>
        <w:gridCol w:w="992"/>
        <w:gridCol w:w="709"/>
        <w:gridCol w:w="851"/>
        <w:gridCol w:w="3118"/>
        <w:gridCol w:w="7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1" w:hRule="atLeast"/>
          <w:tblHeader/>
          <w:jc w:val="center"/>
        </w:trPr>
        <w:tc>
          <w:tcPr>
            <w:tcW w:w="568"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布局</w:t>
            </w:r>
          </w:p>
        </w:tc>
        <w:tc>
          <w:tcPr>
            <w:tcW w:w="709"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路线名称</w:t>
            </w:r>
          </w:p>
        </w:tc>
        <w:tc>
          <w:tcPr>
            <w:tcW w:w="709"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轨道等级</w:t>
            </w:r>
          </w:p>
        </w:tc>
        <w:tc>
          <w:tcPr>
            <w:tcW w:w="708"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客货功能</w:t>
            </w:r>
          </w:p>
        </w:tc>
        <w:tc>
          <w:tcPr>
            <w:tcW w:w="709"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境内里程</w:t>
            </w:r>
          </w:p>
        </w:tc>
        <w:tc>
          <w:tcPr>
            <w:tcW w:w="992"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境内</w:t>
            </w:r>
          </w:p>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站点</w:t>
            </w:r>
          </w:p>
        </w:tc>
        <w:tc>
          <w:tcPr>
            <w:tcW w:w="709"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设计速度</w:t>
            </w:r>
          </w:p>
        </w:tc>
        <w:tc>
          <w:tcPr>
            <w:tcW w:w="851"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制式</w:t>
            </w:r>
          </w:p>
        </w:tc>
        <w:tc>
          <w:tcPr>
            <w:tcW w:w="3118"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功能</w:t>
            </w:r>
          </w:p>
        </w:tc>
        <w:tc>
          <w:tcPr>
            <w:tcW w:w="709" w:type="dxa"/>
            <w:shd w:val="clear" w:color="auto" w:fill="FFFFFF"/>
            <w:vAlign w:val="center"/>
          </w:tcPr>
          <w:p>
            <w:pPr>
              <w:adjustRightInd w:val="0"/>
              <w:snapToGrid w:val="0"/>
              <w:spacing w:line="240" w:lineRule="auto"/>
              <w:ind w:firstLine="0" w:firstLineChars="0"/>
              <w:jc w:val="center"/>
              <w:rPr>
                <w:rFonts w:ascii="仿宋" w:hAnsi="仿宋" w:eastAsia="黑体"/>
                <w:bCs/>
                <w:kern w:val="0"/>
                <w:sz w:val="21"/>
                <w:szCs w:val="21"/>
              </w:rPr>
            </w:pPr>
            <w:r>
              <w:rPr>
                <w:rFonts w:hint="eastAsia" w:ascii="仿宋" w:hAnsi="仿宋" w:eastAsia="黑体"/>
                <w:bCs/>
                <w:kern w:val="0"/>
                <w:sz w:val="21"/>
                <w:szCs w:val="21"/>
              </w:rPr>
              <w:t>建设情况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33" w:hRule="atLeast"/>
          <w:jc w:val="center"/>
        </w:trPr>
        <w:tc>
          <w:tcPr>
            <w:tcW w:w="568" w:type="dxa"/>
            <w:vAlign w:val="center"/>
          </w:tcPr>
          <w:p>
            <w:pPr>
              <w:adjustRightInd w:val="0"/>
              <w:snapToGrid w:val="0"/>
              <w:spacing w:line="240" w:lineRule="auto"/>
              <w:ind w:firstLine="0" w:firstLineChars="0"/>
              <w:jc w:val="center"/>
              <w:rPr>
                <w:rFonts w:eastAsia="方正仿宋简体"/>
                <w:b/>
                <w:kern w:val="0"/>
                <w:sz w:val="21"/>
                <w:szCs w:val="21"/>
              </w:rPr>
            </w:pPr>
            <w:r>
              <w:rPr>
                <w:rFonts w:eastAsia="方正仿宋简体"/>
                <w:b/>
                <w:kern w:val="0"/>
                <w:sz w:val="21"/>
                <w:szCs w:val="21"/>
              </w:rPr>
              <w:t>纵一</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深茂铁路阳东段</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高铁</w:t>
            </w:r>
          </w:p>
        </w:tc>
        <w:tc>
          <w:tcPr>
            <w:tcW w:w="708"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客运</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34</w:t>
            </w:r>
          </w:p>
        </w:tc>
        <w:tc>
          <w:tcPr>
            <w:tcW w:w="992"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阳东站</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200</w:t>
            </w:r>
          </w:p>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Km/h</w:t>
            </w:r>
          </w:p>
        </w:tc>
        <w:tc>
          <w:tcPr>
            <w:tcW w:w="851"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国铁I级双线</w:t>
            </w:r>
          </w:p>
        </w:tc>
        <w:tc>
          <w:tcPr>
            <w:tcW w:w="3118" w:type="dxa"/>
            <w:vAlign w:val="center"/>
          </w:tcPr>
          <w:p>
            <w:pPr>
              <w:adjustRightInd w:val="0"/>
              <w:snapToGrid w:val="0"/>
              <w:spacing w:line="240" w:lineRule="auto"/>
              <w:ind w:firstLine="0" w:firstLineChars="0"/>
              <w:jc w:val="both"/>
              <w:rPr>
                <w:rFonts w:eastAsia="方正仿宋简体"/>
                <w:bCs/>
                <w:kern w:val="0"/>
                <w:sz w:val="21"/>
                <w:szCs w:val="21"/>
              </w:rPr>
            </w:pPr>
            <w:r>
              <w:rPr>
                <w:rFonts w:eastAsia="方正仿宋简体"/>
                <w:bCs/>
                <w:kern w:val="0"/>
                <w:sz w:val="21"/>
                <w:szCs w:val="21"/>
              </w:rPr>
              <w:t>加强粤西地区与粤港澳大湾区互联互通水平，推动阳东正式融入粤港澳大湾区一小时经济圈，强化阳东与粤港澳大湾区、北部湾城市群、海南自贸区之间社会经济联系</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81" w:hRule="atLeast"/>
          <w:jc w:val="center"/>
        </w:trPr>
        <w:tc>
          <w:tcPr>
            <w:tcW w:w="568" w:type="dxa"/>
            <w:vAlign w:val="center"/>
          </w:tcPr>
          <w:p>
            <w:pPr>
              <w:adjustRightInd w:val="0"/>
              <w:snapToGrid w:val="0"/>
              <w:spacing w:line="240" w:lineRule="auto"/>
              <w:ind w:firstLine="0" w:firstLineChars="0"/>
              <w:jc w:val="center"/>
              <w:rPr>
                <w:rFonts w:eastAsia="方正仿宋简体"/>
                <w:b/>
                <w:kern w:val="0"/>
                <w:sz w:val="21"/>
                <w:szCs w:val="21"/>
              </w:rPr>
            </w:pPr>
            <w:r>
              <w:rPr>
                <w:rFonts w:eastAsia="方正仿宋简体"/>
                <w:b/>
                <w:kern w:val="0"/>
                <w:sz w:val="21"/>
                <w:szCs w:val="21"/>
              </w:rPr>
              <w:t>纵二</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广湛铁路阳东段</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高铁</w:t>
            </w:r>
          </w:p>
        </w:tc>
        <w:tc>
          <w:tcPr>
            <w:tcW w:w="708"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客运</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28</w:t>
            </w:r>
          </w:p>
        </w:tc>
        <w:tc>
          <w:tcPr>
            <w:tcW w:w="992"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无，</w:t>
            </w:r>
          </w:p>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周边站点为阳春东站、阳江北站</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350</w:t>
            </w:r>
          </w:p>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Km/h</w:t>
            </w:r>
          </w:p>
        </w:tc>
        <w:tc>
          <w:tcPr>
            <w:tcW w:w="851"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铁I级双线</w:t>
            </w:r>
          </w:p>
        </w:tc>
        <w:tc>
          <w:tcPr>
            <w:tcW w:w="3118" w:type="dxa"/>
            <w:vAlign w:val="center"/>
          </w:tcPr>
          <w:p>
            <w:pPr>
              <w:adjustRightInd w:val="0"/>
              <w:snapToGrid w:val="0"/>
              <w:spacing w:line="240" w:lineRule="auto"/>
              <w:ind w:firstLine="0" w:firstLineChars="0"/>
              <w:jc w:val="both"/>
              <w:rPr>
                <w:rFonts w:eastAsia="方正仿宋简体"/>
                <w:bCs/>
                <w:kern w:val="0"/>
                <w:sz w:val="21"/>
                <w:szCs w:val="21"/>
              </w:rPr>
            </w:pPr>
            <w:r>
              <w:rPr>
                <w:rFonts w:eastAsia="方正仿宋简体"/>
                <w:bCs/>
                <w:kern w:val="0"/>
                <w:sz w:val="21"/>
                <w:szCs w:val="21"/>
              </w:rPr>
              <w:t>广州都市区与粤西地区的第一条高速铁路；是阳东高效联通粤港澳大湾区广佛发展极的快速通道；也是与珠三角枢纽（广州新）机场的快速衔接通道</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在建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52" w:hRule="atLeast"/>
          <w:jc w:val="center"/>
        </w:trPr>
        <w:tc>
          <w:tcPr>
            <w:tcW w:w="568" w:type="dxa"/>
            <w:vAlign w:val="center"/>
          </w:tcPr>
          <w:p>
            <w:pPr>
              <w:adjustRightInd w:val="0"/>
              <w:snapToGrid w:val="0"/>
              <w:spacing w:line="240" w:lineRule="auto"/>
              <w:ind w:firstLine="0" w:firstLineChars="0"/>
              <w:jc w:val="center"/>
              <w:rPr>
                <w:rFonts w:eastAsia="方正仿宋简体"/>
                <w:b/>
                <w:kern w:val="0"/>
                <w:sz w:val="21"/>
                <w:szCs w:val="21"/>
              </w:rPr>
            </w:pPr>
            <w:r>
              <w:rPr>
                <w:rFonts w:eastAsia="方正仿宋简体"/>
                <w:b/>
                <w:kern w:val="0"/>
                <w:sz w:val="21"/>
                <w:szCs w:val="21"/>
              </w:rPr>
              <w:t>横一</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珠海至阳江高铁阳东段</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高铁</w:t>
            </w:r>
          </w:p>
        </w:tc>
        <w:tc>
          <w:tcPr>
            <w:tcW w:w="708"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客运</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58</w:t>
            </w:r>
          </w:p>
        </w:tc>
        <w:tc>
          <w:tcPr>
            <w:tcW w:w="992"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阳东站</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350</w:t>
            </w:r>
          </w:p>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Km/h</w:t>
            </w:r>
          </w:p>
        </w:tc>
        <w:tc>
          <w:tcPr>
            <w:tcW w:w="851"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国铁I级双线</w:t>
            </w:r>
          </w:p>
        </w:tc>
        <w:tc>
          <w:tcPr>
            <w:tcW w:w="3118" w:type="dxa"/>
            <w:vAlign w:val="center"/>
          </w:tcPr>
          <w:p>
            <w:pPr>
              <w:adjustRightInd w:val="0"/>
              <w:snapToGrid w:val="0"/>
              <w:spacing w:line="240" w:lineRule="auto"/>
              <w:ind w:firstLine="0" w:firstLineChars="0"/>
              <w:jc w:val="both"/>
              <w:rPr>
                <w:rFonts w:eastAsia="方正仿宋简体"/>
                <w:bCs/>
                <w:kern w:val="0"/>
                <w:sz w:val="21"/>
                <w:szCs w:val="21"/>
              </w:rPr>
            </w:pPr>
            <w:r>
              <w:rPr>
                <w:rFonts w:eastAsia="方正仿宋简体"/>
                <w:bCs/>
                <w:kern w:val="0"/>
                <w:sz w:val="21"/>
                <w:szCs w:val="21"/>
              </w:rPr>
              <w:t>是深圳都市圈、珠江口西岸都市圈辐射粤西的重要通道；是阳东高效联通粤港澳大湾区深港发展极和珠澳发展极的快速通道</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w:t>
            </w:r>
          </w:p>
        </w:tc>
      </w:tr>
    </w:tbl>
    <w:p>
      <w:pPr>
        <w:spacing w:line="240" w:lineRule="auto"/>
        <w:ind w:firstLine="0" w:firstLineChars="0"/>
      </w:pPr>
      <w:bookmarkStart w:id="83" w:name="_Toc100302734"/>
      <w:bookmarkStart w:id="84" w:name="_Toc99633323"/>
      <w:bookmarkStart w:id="85" w:name="_Toc117693220"/>
      <w:bookmarkStart w:id="86" w:name="_Toc112854899"/>
      <w:bookmarkStart w:id="87" w:name="_Toc109811263"/>
      <w:r>
        <w:rPr>
          <w:b/>
        </w:rPr>
        <w:br w:type="page"/>
      </w:r>
    </w:p>
    <w:p>
      <w:pPr>
        <w:pStyle w:val="2"/>
        <w:keepNext w:val="0"/>
        <w:keepLines w:val="0"/>
        <w:spacing w:line="570" w:lineRule="exact"/>
        <w:textAlignment w:val="auto"/>
        <w:rPr>
          <w:rFonts w:hAnsi="黑体"/>
          <w:b w:val="0"/>
          <w:sz w:val="32"/>
          <w:szCs w:val="32"/>
        </w:rPr>
      </w:pPr>
      <w:r>
        <w:rPr>
          <w:rFonts w:hint="eastAsia" w:ascii="Times New Roman" w:hAnsi="Times New Roman" w:eastAsia="方正小标宋简体"/>
          <w:b w:val="0"/>
          <w:sz w:val="32"/>
          <w:szCs w:val="32"/>
        </w:rPr>
        <w:t>附表三</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阳东区高速公路网络布局规划一览表</w:t>
      </w:r>
      <w:bookmarkEnd w:id="83"/>
      <w:bookmarkEnd w:id="84"/>
      <w:bookmarkEnd w:id="85"/>
      <w:bookmarkEnd w:id="86"/>
      <w:bookmarkEnd w:id="87"/>
    </w:p>
    <w:tbl>
      <w:tblPr>
        <w:tblStyle w:val="67"/>
        <w:tblW w:w="1001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19"/>
        <w:gridCol w:w="1253"/>
        <w:gridCol w:w="2268"/>
        <w:gridCol w:w="4961"/>
        <w:gridCol w:w="7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5" w:hRule="atLeast"/>
          <w:tblHeader/>
          <w:jc w:val="center"/>
        </w:trPr>
        <w:tc>
          <w:tcPr>
            <w:tcW w:w="819"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hAnsi="仿宋" w:eastAsia="黑体"/>
                <w:bCs/>
                <w:kern w:val="0"/>
                <w:sz w:val="21"/>
                <w:szCs w:val="21"/>
              </w:rPr>
              <w:t>布局</w:t>
            </w:r>
          </w:p>
        </w:tc>
        <w:tc>
          <w:tcPr>
            <w:tcW w:w="1253"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高速公路名称</w:t>
            </w:r>
          </w:p>
        </w:tc>
        <w:tc>
          <w:tcPr>
            <w:tcW w:w="2268"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路线情况</w:t>
            </w:r>
          </w:p>
        </w:tc>
        <w:tc>
          <w:tcPr>
            <w:tcW w:w="4961"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功能定位</w:t>
            </w:r>
          </w:p>
        </w:tc>
        <w:tc>
          <w:tcPr>
            <w:tcW w:w="709"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建设</w:t>
            </w:r>
          </w:p>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5" w:hRule="atLeast"/>
          <w:jc w:val="center"/>
        </w:trPr>
        <w:tc>
          <w:tcPr>
            <w:tcW w:w="819"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纵一</w:t>
            </w:r>
          </w:p>
        </w:tc>
        <w:tc>
          <w:tcPr>
            <w:tcW w:w="1253"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阳阳高速公路</w:t>
            </w:r>
          </w:p>
        </w:tc>
        <w:tc>
          <w:tcPr>
            <w:tcW w:w="2268"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阳东境内段总里程约6公里，采用双向四车道标准建设，设计速度为100公里/小时</w:t>
            </w:r>
          </w:p>
        </w:tc>
        <w:tc>
          <w:tcPr>
            <w:tcW w:w="4961"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直接连通阳江阳春，对接云浮、肇庆；是阳江港北拓腹地的重要依托；是阳东西北部地区与阳江市区快速联系主通道</w:t>
            </w:r>
          </w:p>
        </w:tc>
        <w:tc>
          <w:tcPr>
            <w:tcW w:w="709"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5" w:hRule="atLeast"/>
          <w:jc w:val="center"/>
        </w:trPr>
        <w:tc>
          <w:tcPr>
            <w:tcW w:w="819"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纵二</w:t>
            </w:r>
          </w:p>
        </w:tc>
        <w:tc>
          <w:tcPr>
            <w:tcW w:w="1253"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西部沿海高速公路（支线）、高明至阳东高速公路</w:t>
            </w:r>
          </w:p>
        </w:tc>
        <w:tc>
          <w:tcPr>
            <w:tcW w:w="2268"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西部沿海高速公路（支线）阳东境内段总里程约14公里，高明至阳东高速公路阳东境内段总里程约35公里，均采用双向四车道标准建设，设计速度为100公里/小时</w:t>
            </w:r>
          </w:p>
        </w:tc>
        <w:tc>
          <w:tcPr>
            <w:tcW w:w="4961"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对接广州、佛山；是阳东对接广佛、融入湾区的重要依托；是阳东向南向海发展战略的重要支撑；是补齐阳江东部纵向通道短板的重要举措；是珠三角枢纽（广州新）机场直连直通的快速通道</w:t>
            </w:r>
          </w:p>
        </w:tc>
        <w:tc>
          <w:tcPr>
            <w:tcW w:w="709"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5" w:hRule="atLeast"/>
          <w:jc w:val="center"/>
        </w:trPr>
        <w:tc>
          <w:tcPr>
            <w:tcW w:w="819"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纵三</w:t>
            </w:r>
          </w:p>
        </w:tc>
        <w:tc>
          <w:tcPr>
            <w:tcW w:w="1253"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沈海高速公路阳东支线</w:t>
            </w:r>
          </w:p>
        </w:tc>
        <w:tc>
          <w:tcPr>
            <w:tcW w:w="2268"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阳东境内段总里程约37公里，采用双向四车道标准建设，设计速度为100公里/小时</w:t>
            </w:r>
          </w:p>
        </w:tc>
        <w:tc>
          <w:tcPr>
            <w:tcW w:w="4961"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是阳东横向通道间重要转换通道；是阳东向南向海发展战略的重要支撑；是东平港北拓腹地的重要依托；是阳东南部地区与北部地区快速联系主通道</w:t>
            </w:r>
          </w:p>
        </w:tc>
        <w:tc>
          <w:tcPr>
            <w:tcW w:w="709" w:type="dxa"/>
            <w:shd w:val="clear" w:color="auto" w:fill="FFFFFF"/>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819" w:type="dxa"/>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横一</w:t>
            </w:r>
          </w:p>
        </w:tc>
        <w:tc>
          <w:tcPr>
            <w:tcW w:w="1253"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珠海至阳江高速公路</w:t>
            </w:r>
          </w:p>
        </w:tc>
        <w:tc>
          <w:tcPr>
            <w:tcW w:w="2268"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阳东境内段总里程约42公里，采用双向六车道标准建设，设计速度为120公里/小时</w:t>
            </w:r>
          </w:p>
        </w:tc>
        <w:tc>
          <w:tcPr>
            <w:tcW w:w="4961"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直接连通江门恩平、阳江江城，对接深圳、南宁，是阳东区对接深珠、融入粤港澳大湾区与北部湾城市群核心城市的重要快速通道；是阳东中北部城镇发展横向交通主骨架；支撑阳东实现镇镇通高速的目标</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819" w:type="dxa"/>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横二</w:t>
            </w:r>
          </w:p>
        </w:tc>
        <w:tc>
          <w:tcPr>
            <w:tcW w:w="1253"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沈海高速公路</w:t>
            </w:r>
          </w:p>
        </w:tc>
        <w:tc>
          <w:tcPr>
            <w:tcW w:w="2268"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阳东境内段总里程约43公里，采用双向八车道标准建设，设计速度为120公里/小时</w:t>
            </w:r>
          </w:p>
        </w:tc>
        <w:tc>
          <w:tcPr>
            <w:tcW w:w="4961"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直接连通江门恩平、阳江江城，对接广州、湛江、海口；是阳东中部城镇发展横向交通主骨架；是阳东区对接广深、融入粤港澳大湾区与北部湾城市群核心城市的重要快速通道；是阳江市城镇发展主骨架</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819" w:type="dxa"/>
            <w:vAlign w:val="center"/>
          </w:tcPr>
          <w:p>
            <w:pPr>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横三</w:t>
            </w:r>
          </w:p>
        </w:tc>
        <w:tc>
          <w:tcPr>
            <w:tcW w:w="1253"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西部沿海高速公路（主线）、西部沿海高速公路阳江南联络线</w:t>
            </w:r>
          </w:p>
        </w:tc>
        <w:tc>
          <w:tcPr>
            <w:tcW w:w="2268"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西部沿海高速公路（主线）阳东境内段总里程约44公里，采用双向四车道标准建设，设计速度为100公里/小时；西部沿海高速公路阳江南联络线总里程约7公里，采用双向四车道标准建设，设计速度为120公里/小时</w:t>
            </w:r>
          </w:p>
        </w:tc>
        <w:tc>
          <w:tcPr>
            <w:tcW w:w="4961"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直接连通江门台山、阳江江城，对接香港、澳门、珠海、湛江；是阳东南部城镇发展横向交通主骨架；是沿海经济带发展重要支撑，阳东融入粤港澳大湾区、北部湾城市群和海南自贸区的重要快速通道；是沿海滨海新城一体化发展的重要依托，阳东南部区域通往阳江站的便捷通道</w:t>
            </w:r>
          </w:p>
        </w:tc>
        <w:tc>
          <w:tcPr>
            <w:tcW w:w="709"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w:t>
            </w:r>
          </w:p>
        </w:tc>
      </w:tr>
    </w:tbl>
    <w:p>
      <w:pPr>
        <w:spacing w:line="240" w:lineRule="auto"/>
        <w:ind w:firstLine="0" w:firstLineChars="0"/>
        <w:rPr>
          <w:rFonts w:eastAsia="方正小标宋简体"/>
          <w:kern w:val="44"/>
          <w:sz w:val="44"/>
        </w:rPr>
      </w:pPr>
      <w:bookmarkStart w:id="88" w:name="_Toc100302735"/>
      <w:bookmarkStart w:id="89" w:name="_Toc117693221"/>
      <w:bookmarkStart w:id="90" w:name="_Toc99633324"/>
      <w:bookmarkStart w:id="91" w:name="_Toc112854900"/>
      <w:bookmarkStart w:id="92" w:name="_Toc109811264"/>
      <w:r>
        <w:rPr>
          <w:rFonts w:eastAsia="方正小标宋简体"/>
          <w:b/>
          <w:sz w:val="44"/>
        </w:rPr>
        <w:br w:type="page"/>
      </w:r>
    </w:p>
    <w:p>
      <w:pPr>
        <w:pStyle w:val="2"/>
        <w:keepNext w:val="0"/>
        <w:keepLines w:val="0"/>
        <w:spacing w:line="570" w:lineRule="exact"/>
        <w:textAlignment w:val="auto"/>
        <w:rPr>
          <w:rFonts w:hAnsi="黑体"/>
          <w:b w:val="0"/>
          <w:sz w:val="32"/>
          <w:szCs w:val="32"/>
        </w:rPr>
      </w:pPr>
      <w:r>
        <w:rPr>
          <w:rFonts w:hint="eastAsia" w:ascii="Times New Roman" w:hAnsi="Times New Roman" w:eastAsia="方正小标宋简体"/>
          <w:b w:val="0"/>
          <w:sz w:val="32"/>
          <w:szCs w:val="32"/>
        </w:rPr>
        <w:t>附表四</w:t>
      </w:r>
      <w:r>
        <w:rPr>
          <w:rFonts w:ascii="Times New Roman" w:hAnsi="Times New Roman" w:eastAsia="方正小标宋简体"/>
          <w:b w:val="0"/>
          <w:sz w:val="32"/>
          <w:szCs w:val="32"/>
        </w:rPr>
        <w:t xml:space="preserve">  </w:t>
      </w:r>
      <w:r>
        <w:rPr>
          <w:rFonts w:hint="eastAsia" w:ascii="Times New Roman" w:hAnsi="Times New Roman" w:eastAsia="方正小标宋简体"/>
          <w:b w:val="0"/>
          <w:spacing w:val="-16"/>
          <w:sz w:val="32"/>
          <w:szCs w:val="32"/>
        </w:rPr>
        <w:t>阳东城区快速干线网络布局规划一览表</w:t>
      </w:r>
      <w:bookmarkEnd w:id="88"/>
      <w:bookmarkEnd w:id="89"/>
      <w:bookmarkEnd w:id="90"/>
      <w:bookmarkEnd w:id="91"/>
      <w:bookmarkEnd w:id="92"/>
    </w:p>
    <w:tbl>
      <w:tblPr>
        <w:tblStyle w:val="67"/>
        <w:tblW w:w="94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94"/>
        <w:gridCol w:w="2318"/>
        <w:gridCol w:w="709"/>
        <w:gridCol w:w="1276"/>
        <w:gridCol w:w="1276"/>
        <w:gridCol w:w="708"/>
        <w:gridCol w:w="26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 w:hRule="atLeast"/>
          <w:tblHeader/>
          <w:jc w:val="center"/>
        </w:trPr>
        <w:tc>
          <w:tcPr>
            <w:tcW w:w="494"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布局</w:t>
            </w:r>
          </w:p>
        </w:tc>
        <w:tc>
          <w:tcPr>
            <w:tcW w:w="2318"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路线</w:t>
            </w:r>
          </w:p>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组成</w:t>
            </w:r>
          </w:p>
        </w:tc>
        <w:tc>
          <w:tcPr>
            <w:tcW w:w="709"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里程</w:t>
            </w:r>
          </w:p>
        </w:tc>
        <w:tc>
          <w:tcPr>
            <w:tcW w:w="1276"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现状技术等级及车道数</w:t>
            </w:r>
          </w:p>
        </w:tc>
        <w:tc>
          <w:tcPr>
            <w:tcW w:w="1276"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规划技术等级及车道数</w:t>
            </w:r>
          </w:p>
        </w:tc>
        <w:tc>
          <w:tcPr>
            <w:tcW w:w="708"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建设性质</w:t>
            </w:r>
          </w:p>
        </w:tc>
        <w:tc>
          <w:tcPr>
            <w:tcW w:w="2694"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功能定位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 w:hRule="atLeast"/>
          <w:jc w:val="center"/>
        </w:trPr>
        <w:tc>
          <w:tcPr>
            <w:tcW w:w="494" w:type="dxa"/>
            <w:vMerge w:val="restart"/>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环线</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国道G325改线</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3.3</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restart"/>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强化阳东城区与江城一体化发展区域的区位优势，将其打造成为引领全区高质量发展、提升城市发展能级的核心区域。承担组织过境交通和城区对外快速交通等功能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国道G325北线</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8</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0"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阳东大道</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15.6</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广东滨海旅游公路阳江雅韶至山外东段</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10</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西平路、金平路</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17.7</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一、6/8</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已建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 w:hRule="atLeast"/>
          <w:jc w:val="center"/>
        </w:trPr>
        <w:tc>
          <w:tcPr>
            <w:tcW w:w="494" w:type="dxa"/>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一射</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国道G325北线</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27</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restart"/>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环城高速北部横向快速通道，高效辐射阳东经济社会发展主轴带各组团的三条射线，形成产城高效联动的多通道快速体系，高效聚合中心城区、北惯、合山、那龙以及广东阳东经济开发区、合山工业区、那龙生态工业园等，支撑阳东打造东部沿海产业高地，进一步增强经济建设“主战场”辐射带动能力。支撑阳东中部产城融合带与阳江中心城区一体化发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 w:hRule="atLeast"/>
          <w:jc w:val="center"/>
        </w:trPr>
        <w:tc>
          <w:tcPr>
            <w:tcW w:w="494" w:type="dxa"/>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二射</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国道G325改线</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17.9</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已建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494" w:type="dxa"/>
            <w:vMerge w:val="restart"/>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三射</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漠江路</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5.2</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一、8</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一、8</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已建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2"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东风路</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6.1</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一、6/8</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已建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国道G325那龙高速出口至东城段</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28</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一、6</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改建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 w:hRule="atLeast"/>
          <w:jc w:val="center"/>
        </w:trPr>
        <w:tc>
          <w:tcPr>
            <w:tcW w:w="494" w:type="dxa"/>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四射</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省道S276线深茂铁路阳东站至阳东广雅路（华科国际）段</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14.8</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76" w:hRule="atLeast"/>
          <w:jc w:val="center"/>
        </w:trPr>
        <w:tc>
          <w:tcPr>
            <w:tcW w:w="494" w:type="dxa"/>
            <w:vMerge w:val="restart"/>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五射</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G228线那龙河大桥至雅韶段</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9.6</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已建</w:t>
            </w:r>
          </w:p>
        </w:tc>
        <w:tc>
          <w:tcPr>
            <w:tcW w:w="2694" w:type="dxa"/>
            <w:vMerge w:val="restart"/>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环城高速南部横向快速通道，主要承担过境交通及城区南部横向城镇交通快速联系辐射功能，支撑南部海洋经济发展区快速发展。与环线构成支撑南北向陆海联通发展带的重要快速干线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 w:hRule="atLeast"/>
          <w:jc w:val="center"/>
        </w:trPr>
        <w:tc>
          <w:tcPr>
            <w:tcW w:w="494" w:type="dxa"/>
            <w:vMerge w:val="continue"/>
            <w:vAlign w:val="center"/>
          </w:tcPr>
          <w:p>
            <w:pPr>
              <w:adjustRightInd w:val="0"/>
              <w:snapToGrid w:val="0"/>
              <w:spacing w:line="300" w:lineRule="exact"/>
              <w:ind w:firstLine="0" w:firstLineChars="0"/>
              <w:jc w:val="center"/>
              <w:rPr>
                <w:rFonts w:eastAsia="方正仿宋简体"/>
                <w:b/>
                <w:bCs/>
                <w:kern w:val="0"/>
                <w:sz w:val="21"/>
                <w:szCs w:val="21"/>
              </w:rPr>
            </w:pP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G228雅白线雅韶至大沟段</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11.6</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二、2</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 w:hRule="atLeast"/>
          <w:jc w:val="center"/>
        </w:trPr>
        <w:tc>
          <w:tcPr>
            <w:tcW w:w="494" w:type="dxa"/>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六射</w:t>
            </w:r>
          </w:p>
        </w:tc>
        <w:tc>
          <w:tcPr>
            <w:tcW w:w="231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广东滨海旅游公路阳江东平至雅韶段</w:t>
            </w:r>
          </w:p>
        </w:tc>
        <w:tc>
          <w:tcPr>
            <w:tcW w:w="7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23.5</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276"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一、4</w:t>
            </w:r>
          </w:p>
        </w:tc>
        <w:tc>
          <w:tcPr>
            <w:tcW w:w="708"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2694"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主要承担滨海旅游快速集散功能，支撑阳东南部滨海旅游高质量发展</w:t>
            </w:r>
          </w:p>
        </w:tc>
      </w:tr>
    </w:tbl>
    <w:p>
      <w:pPr>
        <w:pStyle w:val="25"/>
        <w:tabs>
          <w:tab w:val="left" w:pos="1905"/>
        </w:tabs>
        <w:ind w:firstLine="552"/>
        <w:jc w:val="both"/>
        <w:rPr>
          <w:rFonts w:cs="仿宋"/>
          <w:spacing w:val="-2"/>
          <w:sz w:val="28"/>
          <w:szCs w:val="28"/>
          <w:lang w:eastAsia="zh-CN"/>
        </w:rPr>
        <w:sectPr>
          <w:pgSz w:w="11906" w:h="16838"/>
          <w:pgMar w:top="1814" w:right="1531" w:bottom="1814" w:left="1531" w:header="851" w:footer="992" w:gutter="0"/>
          <w:cols w:space="425" w:num="1"/>
          <w:docGrid w:type="lines" w:linePitch="381" w:charSpace="0"/>
        </w:sectPr>
      </w:pPr>
    </w:p>
    <w:p>
      <w:pPr>
        <w:pStyle w:val="2"/>
        <w:keepNext w:val="0"/>
        <w:keepLines w:val="0"/>
        <w:spacing w:line="570" w:lineRule="exact"/>
        <w:textAlignment w:val="auto"/>
        <w:rPr>
          <w:rFonts w:ascii="Times New Roman" w:hAnsi="Times New Roman" w:eastAsia="方正小标宋简体"/>
          <w:b w:val="0"/>
          <w:sz w:val="32"/>
          <w:szCs w:val="32"/>
        </w:rPr>
      </w:pPr>
      <w:bookmarkStart w:id="93" w:name="_Toc100302736"/>
      <w:bookmarkStart w:id="94" w:name="_Toc117693222"/>
      <w:bookmarkStart w:id="95" w:name="_Toc109811265"/>
      <w:bookmarkStart w:id="96" w:name="_Toc112854901"/>
      <w:bookmarkStart w:id="97" w:name="_Toc99633325"/>
      <w:r>
        <w:rPr>
          <w:rFonts w:hint="eastAsia" w:ascii="Times New Roman" w:hAnsi="Times New Roman" w:eastAsia="方正小标宋简体"/>
          <w:b w:val="0"/>
          <w:sz w:val="32"/>
          <w:szCs w:val="32"/>
        </w:rPr>
        <w:t>附表五</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阳东区普通干线网络布局规划一览表</w:t>
      </w:r>
      <w:bookmarkEnd w:id="93"/>
      <w:bookmarkEnd w:id="94"/>
      <w:bookmarkEnd w:id="95"/>
      <w:bookmarkEnd w:id="96"/>
      <w:bookmarkEnd w:id="97"/>
    </w:p>
    <w:tbl>
      <w:tblPr>
        <w:tblStyle w:val="67"/>
        <w:tblW w:w="1474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2"/>
        <w:gridCol w:w="1275"/>
        <w:gridCol w:w="1276"/>
        <w:gridCol w:w="1276"/>
        <w:gridCol w:w="1134"/>
        <w:gridCol w:w="1134"/>
        <w:gridCol w:w="1559"/>
        <w:gridCol w:w="992"/>
        <w:gridCol w:w="851"/>
        <w:gridCol w:w="1701"/>
        <w:gridCol w:w="850"/>
        <w:gridCol w:w="709"/>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852"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布局</w:t>
            </w:r>
          </w:p>
        </w:tc>
        <w:tc>
          <w:tcPr>
            <w:tcW w:w="1275"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起点</w:t>
            </w:r>
          </w:p>
        </w:tc>
        <w:tc>
          <w:tcPr>
            <w:tcW w:w="1276"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终点</w:t>
            </w:r>
          </w:p>
        </w:tc>
        <w:tc>
          <w:tcPr>
            <w:tcW w:w="1276"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主要控制点</w:t>
            </w:r>
          </w:p>
        </w:tc>
        <w:tc>
          <w:tcPr>
            <w:tcW w:w="1134"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里程</w:t>
            </w:r>
          </w:p>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（公里）</w:t>
            </w:r>
          </w:p>
        </w:tc>
        <w:tc>
          <w:tcPr>
            <w:tcW w:w="1134"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重复里程</w:t>
            </w:r>
          </w:p>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（公里）</w:t>
            </w:r>
          </w:p>
        </w:tc>
        <w:tc>
          <w:tcPr>
            <w:tcW w:w="3402" w:type="dxa"/>
            <w:gridSpan w:val="3"/>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现状情况</w:t>
            </w:r>
          </w:p>
        </w:tc>
        <w:tc>
          <w:tcPr>
            <w:tcW w:w="3260" w:type="dxa"/>
            <w:gridSpan w:val="3"/>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规划情况</w:t>
            </w:r>
          </w:p>
        </w:tc>
        <w:tc>
          <w:tcPr>
            <w:tcW w:w="1134" w:type="dxa"/>
            <w:vMerge w:val="restart"/>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建设</w:t>
            </w:r>
          </w:p>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852"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c>
          <w:tcPr>
            <w:tcW w:w="1275"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c>
          <w:tcPr>
            <w:tcW w:w="1276"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c>
          <w:tcPr>
            <w:tcW w:w="1276"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c>
          <w:tcPr>
            <w:tcW w:w="1134"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c>
          <w:tcPr>
            <w:tcW w:w="1134"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c>
          <w:tcPr>
            <w:tcW w:w="1559" w:type="dxa"/>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公路名称</w:t>
            </w:r>
          </w:p>
        </w:tc>
        <w:tc>
          <w:tcPr>
            <w:tcW w:w="992" w:type="dxa"/>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公路</w:t>
            </w:r>
          </w:p>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等级</w:t>
            </w:r>
          </w:p>
        </w:tc>
        <w:tc>
          <w:tcPr>
            <w:tcW w:w="851" w:type="dxa"/>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车道数</w:t>
            </w:r>
          </w:p>
        </w:tc>
        <w:tc>
          <w:tcPr>
            <w:tcW w:w="1701" w:type="dxa"/>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公路名称</w:t>
            </w:r>
          </w:p>
        </w:tc>
        <w:tc>
          <w:tcPr>
            <w:tcW w:w="850" w:type="dxa"/>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公路</w:t>
            </w:r>
          </w:p>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等级</w:t>
            </w:r>
          </w:p>
        </w:tc>
        <w:tc>
          <w:tcPr>
            <w:tcW w:w="709" w:type="dxa"/>
            <w:shd w:val="clear" w:color="auto" w:fill="auto"/>
            <w:vAlign w:val="center"/>
          </w:tcPr>
          <w:p>
            <w:pPr>
              <w:adjustRightInd w:val="0"/>
              <w:snapToGrid w:val="0"/>
              <w:spacing w:line="240" w:lineRule="auto"/>
              <w:ind w:firstLine="0" w:firstLineChars="0"/>
              <w:jc w:val="center"/>
              <w:rPr>
                <w:rFonts w:ascii="仿宋_GB2312" w:eastAsia="黑体"/>
                <w:bCs/>
              </w:rPr>
            </w:pPr>
            <w:r>
              <w:rPr>
                <w:rFonts w:hint="eastAsia" w:ascii="仿宋_GB2312" w:eastAsia="黑体"/>
                <w:bCs/>
                <w:kern w:val="0"/>
                <w:sz w:val="21"/>
                <w:szCs w:val="21"/>
              </w:rPr>
              <w:t>车道数</w:t>
            </w:r>
          </w:p>
        </w:tc>
        <w:tc>
          <w:tcPr>
            <w:tcW w:w="1134" w:type="dxa"/>
            <w:vMerge w:val="continue"/>
            <w:shd w:val="clear" w:color="auto" w:fill="D8D8D8" w:themeFill="background1" w:themeFillShade="D9"/>
            <w:vAlign w:val="center"/>
          </w:tcPr>
          <w:p>
            <w:pPr>
              <w:adjustRightInd w:val="0"/>
              <w:snapToGrid w:val="0"/>
              <w:spacing w:line="240" w:lineRule="auto"/>
              <w:ind w:firstLine="0" w:firstLineChars="0"/>
              <w:jc w:val="center"/>
              <w:rPr>
                <w:rFonts w:ascii="仿宋_GB2312" w:eastAsia="仿宋_GB2312"/>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Z1</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江城至阳春</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8.80</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0.00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Z1.1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江城双捷</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岗美轮水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红丰、塘坪</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8.80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G234</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G234</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Z2</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新垌至雅韶</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40.99</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4.94</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Z2.1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大八新垌</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大八良爱</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12.17</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X599</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X599</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Z2.2</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大八良爱</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塘坪大坪山</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大八、塘坪</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5.41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S539</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二级、三级、四级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S539</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Z2.3</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塘坪大坪山</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塘坪塘坪圩</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2.04</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2.04</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Z2.4</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塘坪塘坪圩</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红丰塘围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塘坪、红丰</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13.92</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2.90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G325改线</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Z2.5</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雅韶笏朝</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东城、雅韶</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7.45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阳东城区至沿海高速雅韶出口连接公路</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6</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Z3</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大八至雅韶</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 xml:space="preserve">43.75 </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 xml:space="preserve">4.02 </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大八吉水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大八大冈</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6.28</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X822</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X822</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Z3.2</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大八大冈</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大八雷岗</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3.90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2.22</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X828</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X828</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Z3.3</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大八雷岗</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北惯彭村</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12.09</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待定</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Z3.4</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北惯彭村</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7.12</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1.80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Z3.5</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北惯林屋</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2.50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X598</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Z3.6</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北惯林屋</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雅韶笏朝</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北惯、雅韶</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7.96</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X598</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X598</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Z3.7</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雅韶笏朝</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雅韶津浦</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3.90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广东滨海旅游公路</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6</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Z4</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恩平那吉至东平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44.82</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2.83</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Z4.1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恩平那吉</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合山牛栏</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那龙、合山</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17.55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S297</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S297</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Z4.2</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合山牛栏</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合山高罗</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3.81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2.03</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S297</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S297</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Z4.3</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合山高罗</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大沟赤坎</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合山、大沟</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11.60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S297</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S297</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Z4.4</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大沟赤坎</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东平良洞</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大沟、东平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5.50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0.50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Z4.5</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东平良洞</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6.35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0.30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Z5</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那龙至东平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54.04</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3.97</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Z5.1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那龙那甲</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7.35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Y458、C261</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Z5.2</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那龙热水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2.52</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2.52</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Z5.3</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那龙热水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那龙、合山、新洲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26.58</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X750</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X819</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新、改建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Z5.4</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1.45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1.45</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Z5.5</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新洲龙潭</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5.39</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X750</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X819</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Z5.6</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新洲龙潭</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东平允泊</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10.74</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H1</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阳春岗美至那龙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44.90</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4.25</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H1.1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塘坪禾石</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塘坪塘坪圩</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12.51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S386（G325共线）</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S386（G325共线）</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4、6</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H1.2</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塘坪塘坪圩</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大八周亨</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塘坪、大八</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15.25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4.25</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H1.3</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大八周亨</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那龙牛筋二桥</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大八、那龙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10.70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H1.4</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那龙牛筋二桥</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那龙石及</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6.45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S386</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新、改建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H2</w:t>
            </w:r>
          </w:p>
        </w:tc>
        <w:tc>
          <w:tcPr>
            <w:tcW w:w="3827" w:type="dxa"/>
            <w:gridSpan w:val="3"/>
            <w:shd w:val="clear" w:color="auto" w:fill="auto"/>
            <w:noWrap/>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地朗至那龙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46.41</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2.90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H2.1</w:t>
            </w:r>
          </w:p>
        </w:tc>
        <w:tc>
          <w:tcPr>
            <w:tcW w:w="1275"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红丰地朗</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红丰珍珠</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13.32</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H2.2</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红丰珍珠</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红丰塘围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2.90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2.90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G325改线</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6</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H2.3</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红丰塘围</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那龙分界龙</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红丰、北惯、合山、那龙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30.19</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G325北线</w:t>
            </w:r>
          </w:p>
        </w:tc>
        <w:tc>
          <w:tcPr>
            <w:tcW w:w="850"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6</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H3</w:t>
            </w:r>
          </w:p>
        </w:tc>
        <w:tc>
          <w:tcPr>
            <w:tcW w:w="3827" w:type="dxa"/>
            <w:gridSpan w:val="3"/>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阳江市区至恩平大槐（市界）</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28.83</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4.54</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H3.1</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合山牛栏</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东城、合山</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10.41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6</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G325改线</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6</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H3.2</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合山牛栏</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那龙龙胜</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合山、那龙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18.42</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4.54</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G325</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路面改造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H4</w:t>
            </w:r>
          </w:p>
        </w:tc>
        <w:tc>
          <w:tcPr>
            <w:tcW w:w="3827" w:type="dxa"/>
            <w:gridSpan w:val="3"/>
            <w:shd w:val="clear" w:color="auto" w:fill="auto"/>
            <w:noWrap/>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东城至那龙镇（市界）</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36.89</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1.80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H4.1</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北惯赤光</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东城、北惯</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11.20</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H4.2</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北惯赤光</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北惯三宝垌</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5.81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1.80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H4.3</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北惯三宝垌</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那龙那关</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北惯、合山、那龙</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19.88</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Y412、Y443、Y423等</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X825</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H5</w:t>
            </w:r>
          </w:p>
        </w:tc>
        <w:tc>
          <w:tcPr>
            <w:tcW w:w="3827" w:type="dxa"/>
            <w:gridSpan w:val="3"/>
            <w:shd w:val="clear" w:color="auto" w:fill="auto"/>
            <w:noWrap/>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江城至新洲北桂</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45.53</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0.50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H5.1</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东城始兴</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北惯三宝垌</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东城、北惯</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14.19</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待定</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H5.2</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北惯三宝垌</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新洲乌石</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北惯、新洲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9.34</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0.50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H5.3</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新洲乌石</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新洲表竹</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3.27</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X595</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X595</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H5.4</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新洲表竹</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新洲老村桥</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6.51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X820</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X820</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H5.5</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新洲老村桥</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新洲河仔</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12.21</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X820</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四级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X820</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新、改建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H6</w:t>
            </w:r>
          </w:p>
        </w:tc>
        <w:tc>
          <w:tcPr>
            <w:tcW w:w="3827" w:type="dxa"/>
            <w:gridSpan w:val="3"/>
            <w:shd w:val="clear" w:color="auto" w:fill="auto"/>
            <w:noWrap/>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雅韶至新洲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39.72</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1.75</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H6.1</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那龙河大桥</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雅韶平岚</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2.45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G228（S540共线）</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G228（S540共线）</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H6.2</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雅韶平岚</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东平良洞</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雅韶、大沟、东平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20.26</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0.30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H6.3</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东平良洞</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新洲石岗</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10.17</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1.45</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H6.4</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新洲石岗</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新洲旱地</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新洲</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6.84</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三级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S276</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改扩建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H7</w:t>
            </w:r>
          </w:p>
        </w:tc>
        <w:tc>
          <w:tcPr>
            <w:tcW w:w="3827" w:type="dxa"/>
            <w:gridSpan w:val="3"/>
            <w:shd w:val="clear" w:color="auto" w:fill="auto"/>
            <w:noWrap/>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广东滨海旅游公路阳东段</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36.22</w:t>
            </w:r>
          </w:p>
        </w:tc>
        <w:tc>
          <w:tcPr>
            <w:tcW w:w="1134" w:type="dxa"/>
            <w:shd w:val="clear" w:color="auto" w:fill="auto"/>
            <w:vAlign w:val="center"/>
          </w:tcPr>
          <w:p>
            <w:pPr>
              <w:adjustRightInd w:val="0"/>
              <w:snapToGrid w:val="0"/>
              <w:spacing w:line="240" w:lineRule="auto"/>
              <w:ind w:firstLine="0" w:firstLineChars="0"/>
              <w:jc w:val="center"/>
              <w:rPr>
                <w:rFonts w:eastAsia="方正仿宋简体"/>
                <w:b/>
                <w:bCs/>
                <w:sz w:val="21"/>
                <w:szCs w:val="21"/>
              </w:rPr>
            </w:pPr>
            <w:r>
              <w:rPr>
                <w:rFonts w:eastAsia="方正仿宋简体"/>
                <w:b/>
                <w:bCs/>
                <w:kern w:val="0"/>
                <w:sz w:val="21"/>
                <w:szCs w:val="21"/>
              </w:rPr>
              <w:t>0.00</w:t>
            </w: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H7.1</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雅韶津浦</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东平北环</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雅韶、大沟、东平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20.95</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规划新增</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广东滨海旅游公路</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新、改建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H7.2</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东平北环</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平堤水库</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14.13</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一级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4</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H7.3</w:t>
            </w:r>
          </w:p>
        </w:tc>
        <w:tc>
          <w:tcPr>
            <w:tcW w:w="1275"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平堤水库</w:t>
            </w:r>
          </w:p>
        </w:tc>
        <w:tc>
          <w:tcPr>
            <w:tcW w:w="1276" w:type="dxa"/>
            <w:shd w:val="clear" w:color="auto" w:fill="auto"/>
            <w:noWrap/>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平堤村</w:t>
            </w:r>
          </w:p>
        </w:tc>
        <w:tc>
          <w:tcPr>
            <w:tcW w:w="1276"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东平</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r>
              <w:rPr>
                <w:rFonts w:eastAsia="方正仿宋简体"/>
                <w:bCs/>
                <w:kern w:val="0"/>
                <w:sz w:val="21"/>
                <w:szCs w:val="21"/>
              </w:rPr>
              <w:t>1.14</w:t>
            </w:r>
          </w:p>
        </w:tc>
        <w:tc>
          <w:tcPr>
            <w:tcW w:w="1134" w:type="dxa"/>
            <w:shd w:val="clear" w:color="auto" w:fill="auto"/>
            <w:vAlign w:val="center"/>
          </w:tcPr>
          <w:p>
            <w:pPr>
              <w:adjustRightInd w:val="0"/>
              <w:snapToGrid w:val="0"/>
              <w:spacing w:line="240" w:lineRule="auto"/>
              <w:ind w:firstLine="0" w:firstLineChars="0"/>
              <w:jc w:val="center"/>
              <w:rPr>
                <w:rFonts w:eastAsia="方正仿宋简体"/>
                <w:bCs/>
                <w:sz w:val="21"/>
                <w:szCs w:val="21"/>
              </w:rPr>
            </w:pPr>
          </w:p>
        </w:tc>
        <w:tc>
          <w:tcPr>
            <w:tcW w:w="1559" w:type="dxa"/>
            <w:shd w:val="clear" w:color="auto" w:fill="auto"/>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992"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85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701"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G228</w:t>
            </w:r>
          </w:p>
        </w:tc>
        <w:tc>
          <w:tcPr>
            <w:tcW w:w="850"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二级</w:t>
            </w:r>
          </w:p>
        </w:tc>
        <w:tc>
          <w:tcPr>
            <w:tcW w:w="709" w:type="dxa"/>
            <w:shd w:val="clear" w:color="auto" w:fill="auto"/>
            <w:noWrap/>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2</w:t>
            </w:r>
          </w:p>
        </w:tc>
        <w:tc>
          <w:tcPr>
            <w:tcW w:w="1134" w:type="dxa"/>
            <w:vAlign w:val="center"/>
          </w:tcPr>
          <w:p>
            <w:pPr>
              <w:adjustRightInd w:val="0"/>
              <w:snapToGrid w:val="0"/>
              <w:spacing w:line="240" w:lineRule="auto"/>
              <w:ind w:firstLine="0" w:firstLineChars="0"/>
              <w:jc w:val="center"/>
              <w:rPr>
                <w:rFonts w:eastAsia="方正仿宋简体"/>
                <w:bCs/>
                <w:kern w:val="0"/>
                <w:sz w:val="21"/>
                <w:szCs w:val="21"/>
              </w:rPr>
            </w:pPr>
            <w:r>
              <w:rPr>
                <w:rFonts w:eastAsia="方正仿宋简体"/>
                <w:bCs/>
                <w:kern w:val="0"/>
                <w:sz w:val="21"/>
                <w:szCs w:val="21"/>
              </w:rPr>
              <w:t>路面改造</w:t>
            </w:r>
          </w:p>
        </w:tc>
      </w:tr>
    </w:tbl>
    <w:p>
      <w:pPr>
        <w:tabs>
          <w:tab w:val="left" w:pos="1350"/>
        </w:tabs>
        <w:ind w:firstLine="0" w:firstLineChars="0"/>
        <w:rPr>
          <w:rFonts w:ascii="仿宋_GB2312" w:hAnsi="华文中宋" w:eastAsia="仿宋_GB2312"/>
          <w:sz w:val="30"/>
          <w:szCs w:val="30"/>
        </w:rPr>
      </w:pPr>
    </w:p>
    <w:p>
      <w:pPr>
        <w:tabs>
          <w:tab w:val="left" w:pos="1350"/>
        </w:tabs>
        <w:ind w:firstLine="0" w:firstLineChars="0"/>
        <w:rPr>
          <w:rFonts w:ascii="仿宋_GB2312" w:hAnsi="华文中宋" w:eastAsia="仿宋_GB2312"/>
          <w:sz w:val="30"/>
          <w:szCs w:val="30"/>
        </w:rPr>
        <w:sectPr>
          <w:pgSz w:w="16838" w:h="11906" w:orient="landscape"/>
          <w:pgMar w:top="1800" w:right="1440" w:bottom="1800" w:left="1440" w:header="851" w:footer="992" w:gutter="0"/>
          <w:cols w:space="425" w:num="1"/>
          <w:docGrid w:type="lines" w:linePitch="381" w:charSpace="0"/>
        </w:sectPr>
      </w:pPr>
    </w:p>
    <w:p>
      <w:pPr>
        <w:pStyle w:val="2"/>
        <w:keepNext w:val="0"/>
        <w:keepLines w:val="0"/>
        <w:spacing w:line="570" w:lineRule="exact"/>
        <w:textAlignment w:val="auto"/>
        <w:rPr>
          <w:rFonts w:ascii="Times New Roman" w:hAnsi="Times New Roman" w:eastAsia="方正小标宋简体"/>
          <w:b w:val="0"/>
          <w:spacing w:val="-20"/>
          <w:sz w:val="32"/>
          <w:szCs w:val="32"/>
        </w:rPr>
      </w:pPr>
      <w:bookmarkStart w:id="98" w:name="_Toc100302737"/>
      <w:bookmarkStart w:id="99" w:name="_Toc117693223"/>
      <w:bookmarkStart w:id="100" w:name="_Toc112854902"/>
      <w:bookmarkStart w:id="101" w:name="_Toc109811266"/>
      <w:bookmarkStart w:id="102" w:name="_Toc99633326"/>
      <w:r>
        <w:rPr>
          <w:rFonts w:hint="eastAsia" w:ascii="Times New Roman" w:hAnsi="Times New Roman" w:eastAsia="方正小标宋简体"/>
          <w:b w:val="0"/>
          <w:spacing w:val="-20"/>
          <w:sz w:val="32"/>
          <w:szCs w:val="32"/>
        </w:rPr>
        <w:t>附表六</w:t>
      </w:r>
      <w:r>
        <w:rPr>
          <w:rFonts w:ascii="Times New Roman" w:hAnsi="Times New Roman" w:eastAsia="方正小标宋简体"/>
          <w:b w:val="0"/>
          <w:spacing w:val="-20"/>
          <w:sz w:val="32"/>
          <w:szCs w:val="32"/>
        </w:rPr>
        <w:t xml:space="preserve">  </w:t>
      </w:r>
      <w:r>
        <w:rPr>
          <w:rFonts w:hint="eastAsia" w:ascii="Times New Roman" w:hAnsi="Times New Roman" w:eastAsia="方正小标宋简体"/>
          <w:b w:val="0"/>
          <w:spacing w:val="-20"/>
          <w:sz w:val="32"/>
          <w:szCs w:val="32"/>
        </w:rPr>
        <w:t>阳东与周边区县干线网络衔接规划一览表</w:t>
      </w:r>
      <w:bookmarkEnd w:id="98"/>
      <w:bookmarkEnd w:id="99"/>
      <w:bookmarkEnd w:id="100"/>
      <w:bookmarkEnd w:id="101"/>
      <w:bookmarkEnd w:id="102"/>
    </w:p>
    <w:tbl>
      <w:tblPr>
        <w:tblStyle w:val="68"/>
        <w:tblW w:w="544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04"/>
        <w:gridCol w:w="466"/>
        <w:gridCol w:w="2016"/>
        <w:gridCol w:w="1275"/>
        <w:gridCol w:w="841"/>
        <w:gridCol w:w="843"/>
        <w:gridCol w:w="997"/>
        <w:gridCol w:w="1129"/>
        <w:gridCol w:w="847"/>
        <w:gridCol w:w="8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06" w:type="pct"/>
            <w:vMerge w:val="restar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地区</w:t>
            </w:r>
          </w:p>
        </w:tc>
        <w:tc>
          <w:tcPr>
            <w:tcW w:w="236" w:type="pct"/>
            <w:vMerge w:val="restar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序号</w:t>
            </w:r>
          </w:p>
        </w:tc>
        <w:tc>
          <w:tcPr>
            <w:tcW w:w="1021" w:type="pct"/>
            <w:vMerge w:val="restar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公路名称</w:t>
            </w:r>
          </w:p>
        </w:tc>
        <w:tc>
          <w:tcPr>
            <w:tcW w:w="646" w:type="pct"/>
            <w:vMerge w:val="restar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地市</w:t>
            </w:r>
          </w:p>
        </w:tc>
        <w:tc>
          <w:tcPr>
            <w:tcW w:w="1358" w:type="pct"/>
            <w:gridSpan w:val="3"/>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现状情况</w:t>
            </w:r>
          </w:p>
        </w:tc>
        <w:tc>
          <w:tcPr>
            <w:tcW w:w="1433" w:type="pct"/>
            <w:gridSpan w:val="3"/>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规划情况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06" w:type="pct"/>
            <w:vMerge w:val="continue"/>
            <w:shd w:val="clear" w:color="auto" w:fill="D8D8D8" w:themeFill="background1" w:themeFillShade="D9"/>
            <w:vAlign w:val="center"/>
          </w:tcPr>
          <w:p>
            <w:pPr>
              <w:widowControl w:val="0"/>
              <w:adjustRightInd w:val="0"/>
              <w:snapToGrid w:val="0"/>
              <w:spacing w:line="240" w:lineRule="auto"/>
              <w:ind w:firstLine="0" w:firstLineChars="0"/>
              <w:jc w:val="center"/>
              <w:rPr>
                <w:rFonts w:ascii="仿宋_GB2312" w:eastAsia="黑体"/>
                <w:bCs/>
                <w:kern w:val="0"/>
                <w:sz w:val="21"/>
                <w:szCs w:val="21"/>
              </w:rPr>
            </w:pPr>
          </w:p>
        </w:tc>
        <w:tc>
          <w:tcPr>
            <w:tcW w:w="236" w:type="pct"/>
            <w:vMerge w:val="continue"/>
            <w:shd w:val="clear" w:color="auto" w:fill="D8D8D8" w:themeFill="background1" w:themeFillShade="D9"/>
            <w:vAlign w:val="center"/>
          </w:tcPr>
          <w:p>
            <w:pPr>
              <w:widowControl w:val="0"/>
              <w:adjustRightInd w:val="0"/>
              <w:snapToGrid w:val="0"/>
              <w:spacing w:line="240" w:lineRule="auto"/>
              <w:ind w:firstLine="0" w:firstLineChars="0"/>
              <w:jc w:val="center"/>
              <w:rPr>
                <w:rFonts w:ascii="仿宋_GB2312" w:eastAsia="黑体"/>
                <w:bCs/>
                <w:kern w:val="0"/>
                <w:sz w:val="21"/>
                <w:szCs w:val="21"/>
              </w:rPr>
            </w:pPr>
          </w:p>
        </w:tc>
        <w:tc>
          <w:tcPr>
            <w:tcW w:w="1021" w:type="pct"/>
            <w:vMerge w:val="continue"/>
            <w:shd w:val="clear" w:color="auto" w:fill="D8D8D8" w:themeFill="background1" w:themeFillShade="D9"/>
            <w:vAlign w:val="center"/>
          </w:tcPr>
          <w:p>
            <w:pPr>
              <w:widowControl w:val="0"/>
              <w:adjustRightInd w:val="0"/>
              <w:snapToGrid w:val="0"/>
              <w:spacing w:line="240" w:lineRule="auto"/>
              <w:ind w:firstLine="0" w:firstLineChars="0"/>
              <w:jc w:val="center"/>
              <w:rPr>
                <w:rFonts w:ascii="仿宋_GB2312" w:eastAsia="黑体"/>
                <w:bCs/>
                <w:kern w:val="0"/>
                <w:sz w:val="21"/>
                <w:szCs w:val="21"/>
              </w:rPr>
            </w:pPr>
          </w:p>
        </w:tc>
        <w:tc>
          <w:tcPr>
            <w:tcW w:w="646" w:type="pct"/>
            <w:vMerge w:val="continue"/>
            <w:shd w:val="clear" w:color="auto" w:fill="D8D8D8" w:themeFill="background1" w:themeFillShade="D9"/>
            <w:vAlign w:val="center"/>
          </w:tcPr>
          <w:p>
            <w:pPr>
              <w:widowControl w:val="0"/>
              <w:adjustRightInd w:val="0"/>
              <w:snapToGrid w:val="0"/>
              <w:spacing w:line="240" w:lineRule="auto"/>
              <w:ind w:firstLine="0" w:firstLineChars="0"/>
              <w:jc w:val="center"/>
              <w:rPr>
                <w:rFonts w:ascii="仿宋_GB2312" w:eastAsia="黑体"/>
                <w:bCs/>
                <w:kern w:val="0"/>
                <w:sz w:val="21"/>
                <w:szCs w:val="21"/>
              </w:rPr>
            </w:pPr>
          </w:p>
        </w:tc>
        <w:tc>
          <w:tcPr>
            <w:tcW w:w="426" w:type="pc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技术</w:t>
            </w:r>
          </w:p>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等级</w:t>
            </w:r>
          </w:p>
        </w:tc>
        <w:tc>
          <w:tcPr>
            <w:tcW w:w="427" w:type="pc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车道数</w:t>
            </w:r>
          </w:p>
        </w:tc>
        <w:tc>
          <w:tcPr>
            <w:tcW w:w="505" w:type="pc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衔接</w:t>
            </w:r>
          </w:p>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分析</w:t>
            </w:r>
          </w:p>
        </w:tc>
        <w:tc>
          <w:tcPr>
            <w:tcW w:w="572" w:type="pc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技术</w:t>
            </w:r>
          </w:p>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等级</w:t>
            </w:r>
          </w:p>
        </w:tc>
        <w:tc>
          <w:tcPr>
            <w:tcW w:w="429" w:type="pc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车道数</w:t>
            </w:r>
          </w:p>
        </w:tc>
        <w:tc>
          <w:tcPr>
            <w:tcW w:w="432" w:type="pct"/>
            <w:shd w:val="clear" w:color="auto" w:fill="auto"/>
            <w:vAlign w:val="center"/>
          </w:tcPr>
          <w:p>
            <w:pPr>
              <w:widowControl w:val="0"/>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restart"/>
            <w:vAlign w:val="center"/>
          </w:tcPr>
          <w:p>
            <w:pPr>
              <w:widowControl w:val="0"/>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江城区</w:t>
            </w: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国道G228</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国道G228</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江城段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国道G234</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国道G234</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江城段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3</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国道G325</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国道G325</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江城段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县道X608</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县道X608</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江城段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5</w:t>
            </w:r>
          </w:p>
        </w:tc>
        <w:tc>
          <w:tcPr>
            <w:tcW w:w="3025" w:type="pct"/>
            <w:gridSpan w:val="5"/>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新规划广东滨海旅游公路</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306" w:type="pct"/>
            <w:vMerge w:val="restart"/>
            <w:vAlign w:val="center"/>
          </w:tcPr>
          <w:p>
            <w:pPr>
              <w:widowControl w:val="0"/>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恩平市</w:t>
            </w: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国道G325（省道S386共线）</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国道G325（省道S386共线）</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恩平段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省道S297</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5"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省道S297</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恩平段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47" w:hRule="atLeast"/>
          <w:jc w:val="center"/>
        </w:trPr>
        <w:tc>
          <w:tcPr>
            <w:tcW w:w="306" w:type="pct"/>
            <w:vMerge w:val="restart"/>
            <w:vAlign w:val="center"/>
          </w:tcPr>
          <w:p>
            <w:pPr>
              <w:widowControl w:val="0"/>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台山市</w:t>
            </w: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国道G228</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国道G228</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台山段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省道S276</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不一致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6"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省道S276</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台山段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43"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3</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县道X820</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县道X820</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台山段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3" w:hRule="atLeast"/>
          <w:jc w:val="center"/>
        </w:trPr>
        <w:tc>
          <w:tcPr>
            <w:tcW w:w="306" w:type="pct"/>
            <w:vMerge w:val="continue"/>
            <w:vAlign w:val="center"/>
          </w:tcPr>
          <w:p>
            <w:pPr>
              <w:widowControl w:val="0"/>
              <w:adjustRightInd w:val="0"/>
              <w:snapToGrid w:val="0"/>
              <w:spacing w:line="240" w:lineRule="auto"/>
              <w:ind w:firstLine="0" w:firstLineChars="0"/>
              <w:jc w:val="center"/>
              <w:rPr>
                <w:rFonts w:eastAsia="方正仿宋简体"/>
                <w:b/>
                <w:bCs/>
                <w:kern w:val="0"/>
                <w:sz w:val="21"/>
                <w:szCs w:val="21"/>
              </w:rPr>
            </w:pPr>
          </w:p>
        </w:tc>
        <w:tc>
          <w:tcPr>
            <w:tcW w:w="23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3025" w:type="pct"/>
            <w:gridSpan w:val="5"/>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新规划广东滨海旅游公路</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restart"/>
            <w:vAlign w:val="center"/>
          </w:tcPr>
          <w:p>
            <w:pPr>
              <w:widowControl w:val="0"/>
              <w:adjustRightInd w:val="0"/>
              <w:snapToGrid w:val="0"/>
              <w:spacing w:line="240" w:lineRule="auto"/>
              <w:ind w:firstLine="0" w:firstLineChars="0"/>
              <w:jc w:val="center"/>
              <w:rPr>
                <w:rFonts w:eastAsia="方正仿宋简体"/>
                <w:b/>
                <w:bCs/>
                <w:kern w:val="0"/>
                <w:sz w:val="21"/>
                <w:szCs w:val="21"/>
              </w:rPr>
            </w:pPr>
            <w:r>
              <w:rPr>
                <w:rFonts w:eastAsia="方正仿宋简体"/>
                <w:b/>
                <w:bCs/>
                <w:kern w:val="0"/>
                <w:sz w:val="21"/>
                <w:szCs w:val="21"/>
              </w:rPr>
              <w:t>阳春市</w:t>
            </w: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国道G234</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国道G234</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阳春段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国道G325（省道S386共线）</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不一致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已建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国道G325（省道S386共线）</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阳春段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3</w:t>
            </w: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省道S539</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阳东段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505" w:type="pct"/>
            <w:vMerge w:val="restar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一致</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1021"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省道S539</w:t>
            </w:r>
          </w:p>
        </w:tc>
        <w:tc>
          <w:tcPr>
            <w:tcW w:w="64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阳春段</w:t>
            </w:r>
          </w:p>
        </w:tc>
        <w:tc>
          <w:tcPr>
            <w:tcW w:w="42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27"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505" w:type="pct"/>
            <w:vMerge w:val="continue"/>
            <w:vAlign w:val="center"/>
          </w:tcPr>
          <w:p>
            <w:pPr>
              <w:widowControl w:val="0"/>
              <w:adjustRightInd w:val="0"/>
              <w:snapToGrid w:val="0"/>
              <w:spacing w:line="360" w:lineRule="exact"/>
              <w:ind w:firstLine="0" w:firstLineChars="0"/>
              <w:jc w:val="center"/>
              <w:rPr>
                <w:rFonts w:eastAsia="方正仿宋简体"/>
                <w:bCs/>
                <w:kern w:val="0"/>
                <w:sz w:val="21"/>
                <w:szCs w:val="21"/>
              </w:rPr>
            </w:pP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3025" w:type="pct"/>
            <w:gridSpan w:val="5"/>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新规划县道X592</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5</w:t>
            </w:r>
          </w:p>
        </w:tc>
        <w:tc>
          <w:tcPr>
            <w:tcW w:w="3025" w:type="pct"/>
            <w:gridSpan w:val="5"/>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新规划县道X601</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3025" w:type="pct"/>
            <w:gridSpan w:val="5"/>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新规划县道X829</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306" w:type="pct"/>
            <w:vMerge w:val="continue"/>
            <w:vAlign w:val="center"/>
          </w:tcPr>
          <w:p>
            <w:pPr>
              <w:widowControl w:val="0"/>
              <w:spacing w:line="360" w:lineRule="exact"/>
              <w:ind w:firstLine="0" w:firstLineChars="0"/>
              <w:jc w:val="center"/>
              <w:rPr>
                <w:rFonts w:eastAsia="方正仿宋简体"/>
                <w:sz w:val="24"/>
                <w:szCs w:val="24"/>
              </w:rPr>
            </w:pPr>
          </w:p>
        </w:tc>
        <w:tc>
          <w:tcPr>
            <w:tcW w:w="236"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7</w:t>
            </w:r>
          </w:p>
        </w:tc>
        <w:tc>
          <w:tcPr>
            <w:tcW w:w="3025" w:type="pct"/>
            <w:gridSpan w:val="5"/>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新规划县道X602</w:t>
            </w:r>
          </w:p>
        </w:tc>
        <w:tc>
          <w:tcPr>
            <w:tcW w:w="57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29"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432" w:type="pct"/>
            <w:vAlign w:val="center"/>
          </w:tcPr>
          <w:p>
            <w:pPr>
              <w:widowControl w:val="0"/>
              <w:adjustRightInd w:val="0"/>
              <w:snapToGrid w:val="0"/>
              <w:spacing w:line="360" w:lineRule="exact"/>
              <w:ind w:firstLine="0" w:firstLineChars="0"/>
              <w:jc w:val="center"/>
              <w:rPr>
                <w:rFonts w:eastAsia="方正仿宋简体"/>
                <w:bCs/>
                <w:kern w:val="0"/>
                <w:sz w:val="21"/>
                <w:szCs w:val="21"/>
              </w:rPr>
            </w:pPr>
            <w:r>
              <w:rPr>
                <w:rFonts w:eastAsia="方正仿宋简体"/>
                <w:bCs/>
                <w:kern w:val="0"/>
                <w:sz w:val="21"/>
                <w:szCs w:val="21"/>
              </w:rPr>
              <w:t>规划</w:t>
            </w:r>
          </w:p>
        </w:tc>
      </w:tr>
    </w:tbl>
    <w:p>
      <w:pPr>
        <w:pStyle w:val="2"/>
        <w:keepNext w:val="0"/>
        <w:keepLines w:val="0"/>
        <w:spacing w:line="570" w:lineRule="exact"/>
        <w:textAlignment w:val="auto"/>
        <w:rPr>
          <w:rFonts w:ascii="Times New Roman" w:hAnsi="Times New Roman" w:eastAsia="方正小标宋简体"/>
          <w:b w:val="0"/>
          <w:sz w:val="44"/>
        </w:rPr>
      </w:pPr>
      <w:bookmarkStart w:id="103" w:name="_Toc99633327"/>
      <w:bookmarkStart w:id="104" w:name="_Toc117693224"/>
      <w:bookmarkStart w:id="105" w:name="_Toc112854903"/>
      <w:bookmarkStart w:id="106" w:name="_Toc109811267"/>
      <w:bookmarkStart w:id="107" w:name="_Toc100302738"/>
    </w:p>
    <w:p>
      <w:pPr>
        <w:spacing w:line="240" w:lineRule="auto"/>
        <w:ind w:firstLine="0" w:firstLineChars="0"/>
        <w:rPr>
          <w:rFonts w:eastAsia="方正小标宋简体"/>
          <w:kern w:val="44"/>
          <w:sz w:val="44"/>
        </w:rPr>
      </w:pPr>
      <w:r>
        <w:rPr>
          <w:rFonts w:eastAsia="方正小标宋简体"/>
          <w:b/>
          <w:sz w:val="44"/>
        </w:rPr>
        <w:br w:type="page"/>
      </w:r>
    </w:p>
    <w:p>
      <w:pPr>
        <w:pStyle w:val="2"/>
        <w:keepNext w:val="0"/>
        <w:keepLines w:val="0"/>
        <w:spacing w:line="570" w:lineRule="exact"/>
        <w:textAlignment w:val="auto"/>
        <w:rPr>
          <w:rFonts w:hAnsi="黑体"/>
          <w:b w:val="0"/>
          <w:sz w:val="32"/>
          <w:szCs w:val="32"/>
        </w:rPr>
      </w:pPr>
      <w:r>
        <w:rPr>
          <w:rFonts w:hint="eastAsia" w:ascii="Times New Roman" w:hAnsi="Times New Roman" w:eastAsia="方正小标宋简体"/>
          <w:b w:val="0"/>
          <w:sz w:val="32"/>
          <w:szCs w:val="32"/>
        </w:rPr>
        <w:t>附表七</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阳东区旅游公路布局规划一览表</w:t>
      </w:r>
      <w:bookmarkEnd w:id="103"/>
      <w:bookmarkEnd w:id="104"/>
      <w:bookmarkEnd w:id="105"/>
      <w:bookmarkEnd w:id="106"/>
      <w:bookmarkEnd w:id="107"/>
    </w:p>
    <w:tbl>
      <w:tblPr>
        <w:tblStyle w:val="68"/>
        <w:tblW w:w="601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07"/>
        <w:gridCol w:w="948"/>
        <w:gridCol w:w="1635"/>
        <w:gridCol w:w="846"/>
        <w:gridCol w:w="879"/>
        <w:gridCol w:w="750"/>
        <w:gridCol w:w="754"/>
        <w:gridCol w:w="1374"/>
        <w:gridCol w:w="26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0" w:hRule="atLeast"/>
          <w:tblHeader/>
          <w:jc w:val="center"/>
        </w:trPr>
        <w:tc>
          <w:tcPr>
            <w:tcW w:w="508" w:type="pct"/>
            <w:vMerge w:val="restar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bookmarkStart w:id="108" w:name="_Hlk97716710"/>
            <w:r>
              <w:rPr>
                <w:rFonts w:hint="eastAsia" w:ascii="仿宋_GB2312" w:eastAsia="黑体"/>
                <w:bCs/>
                <w:kern w:val="0"/>
                <w:sz w:val="21"/>
                <w:szCs w:val="21"/>
              </w:rPr>
              <w:t>布局</w:t>
            </w:r>
          </w:p>
        </w:tc>
        <w:tc>
          <w:tcPr>
            <w:tcW w:w="435" w:type="pct"/>
            <w:vMerge w:val="restar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线路编码</w:t>
            </w:r>
          </w:p>
        </w:tc>
        <w:tc>
          <w:tcPr>
            <w:tcW w:w="750" w:type="pct"/>
            <w:vMerge w:val="restar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起终点</w:t>
            </w:r>
          </w:p>
        </w:tc>
        <w:tc>
          <w:tcPr>
            <w:tcW w:w="791" w:type="pct"/>
            <w:gridSpan w:val="2"/>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现状情况</w:t>
            </w:r>
          </w:p>
        </w:tc>
        <w:tc>
          <w:tcPr>
            <w:tcW w:w="690" w:type="pct"/>
            <w:gridSpan w:val="2"/>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规划情况</w:t>
            </w:r>
          </w:p>
        </w:tc>
        <w:tc>
          <w:tcPr>
            <w:tcW w:w="630" w:type="pct"/>
            <w:vMerge w:val="restar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里程</w:t>
            </w:r>
          </w:p>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（公里）</w:t>
            </w:r>
          </w:p>
        </w:tc>
        <w:tc>
          <w:tcPr>
            <w:tcW w:w="1197" w:type="pct"/>
            <w:vMerge w:val="restar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连接</w:t>
            </w:r>
          </w:p>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景点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0" w:hRule="atLeast"/>
          <w:tblHeader/>
          <w:jc w:val="center"/>
        </w:trPr>
        <w:tc>
          <w:tcPr>
            <w:tcW w:w="508" w:type="pct"/>
            <w:vMerge w:val="continue"/>
            <w:shd w:val="clear" w:color="auto" w:fill="D8D8D8" w:themeFill="background1" w:themeFillShade="D9"/>
            <w:vAlign w:val="center"/>
          </w:tcPr>
          <w:p>
            <w:pPr>
              <w:pStyle w:val="93"/>
              <w:widowControl w:val="0"/>
              <w:ind w:firstLine="361"/>
              <w:rPr>
                <w:rFonts w:ascii="仿宋_GB2312" w:eastAsia="仿宋_GB2312"/>
                <w:b/>
                <w:color w:val="auto"/>
                <w:lang w:eastAsia="zh-CN"/>
              </w:rPr>
            </w:pPr>
          </w:p>
        </w:tc>
        <w:tc>
          <w:tcPr>
            <w:tcW w:w="435" w:type="pct"/>
            <w:vMerge w:val="continue"/>
            <w:shd w:val="clear" w:color="auto" w:fill="D8D8D8" w:themeFill="background1" w:themeFillShade="D9"/>
            <w:vAlign w:val="center"/>
          </w:tcPr>
          <w:p>
            <w:pPr>
              <w:pStyle w:val="93"/>
              <w:widowControl w:val="0"/>
              <w:ind w:firstLine="361"/>
              <w:rPr>
                <w:rFonts w:ascii="仿宋_GB2312" w:eastAsia="仿宋_GB2312"/>
                <w:b/>
                <w:color w:val="auto"/>
                <w:lang w:eastAsia="zh-CN"/>
              </w:rPr>
            </w:pPr>
          </w:p>
        </w:tc>
        <w:tc>
          <w:tcPr>
            <w:tcW w:w="750" w:type="pct"/>
            <w:vMerge w:val="continue"/>
            <w:shd w:val="clear" w:color="auto" w:fill="D8D8D8" w:themeFill="background1" w:themeFillShade="D9"/>
            <w:vAlign w:val="center"/>
          </w:tcPr>
          <w:p>
            <w:pPr>
              <w:widowControl w:val="0"/>
              <w:spacing w:line="360" w:lineRule="exact"/>
              <w:ind w:firstLine="0" w:firstLineChars="0"/>
              <w:jc w:val="center"/>
              <w:rPr>
                <w:rFonts w:ascii="仿宋_GB2312" w:hAnsi="仿宋" w:eastAsia="仿宋_GB2312" w:cstheme="minorBidi"/>
                <w:b/>
                <w:bCs/>
                <w:sz w:val="24"/>
                <w:szCs w:val="24"/>
              </w:rPr>
            </w:pPr>
          </w:p>
        </w:tc>
        <w:tc>
          <w:tcPr>
            <w:tcW w:w="388" w:type="pc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技术</w:t>
            </w:r>
          </w:p>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等级</w:t>
            </w:r>
          </w:p>
        </w:tc>
        <w:tc>
          <w:tcPr>
            <w:tcW w:w="402" w:type="pc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车道数</w:t>
            </w:r>
          </w:p>
        </w:tc>
        <w:tc>
          <w:tcPr>
            <w:tcW w:w="344" w:type="pc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技术</w:t>
            </w:r>
          </w:p>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等级</w:t>
            </w:r>
          </w:p>
        </w:tc>
        <w:tc>
          <w:tcPr>
            <w:tcW w:w="345" w:type="pct"/>
            <w:shd w:val="clear" w:color="auto" w:fill="auto"/>
            <w:vAlign w:val="center"/>
          </w:tcPr>
          <w:p>
            <w:pPr>
              <w:widowControl w:val="0"/>
              <w:adjustRightInd w:val="0"/>
              <w:snapToGrid w:val="0"/>
              <w:spacing w:line="280" w:lineRule="exact"/>
              <w:ind w:firstLine="0" w:firstLineChars="0"/>
              <w:jc w:val="center"/>
              <w:rPr>
                <w:rFonts w:ascii="仿宋_GB2312" w:eastAsia="黑体"/>
                <w:bCs/>
                <w:kern w:val="0"/>
                <w:sz w:val="21"/>
                <w:szCs w:val="21"/>
              </w:rPr>
            </w:pPr>
            <w:r>
              <w:rPr>
                <w:rFonts w:hint="eastAsia" w:ascii="仿宋_GB2312" w:eastAsia="黑体"/>
                <w:bCs/>
                <w:kern w:val="0"/>
                <w:sz w:val="21"/>
                <w:szCs w:val="21"/>
              </w:rPr>
              <w:t>车道数</w:t>
            </w:r>
          </w:p>
        </w:tc>
        <w:tc>
          <w:tcPr>
            <w:tcW w:w="630" w:type="pct"/>
            <w:vMerge w:val="continue"/>
            <w:shd w:val="clear" w:color="auto" w:fill="D8D8D8" w:themeFill="background1" w:themeFillShade="D9"/>
            <w:vAlign w:val="center"/>
          </w:tcPr>
          <w:p>
            <w:pPr>
              <w:pStyle w:val="93"/>
              <w:widowControl w:val="0"/>
              <w:ind w:firstLine="361"/>
              <w:rPr>
                <w:rFonts w:ascii="仿宋_GB2312" w:eastAsia="仿宋_GB2312"/>
                <w:b/>
                <w:color w:val="auto"/>
                <w:lang w:eastAsia="zh-CN"/>
              </w:rPr>
            </w:pPr>
          </w:p>
        </w:tc>
        <w:tc>
          <w:tcPr>
            <w:tcW w:w="1197" w:type="pct"/>
            <w:vMerge w:val="continue"/>
            <w:shd w:val="clear" w:color="auto" w:fill="D8D8D8" w:themeFill="background1" w:themeFillShade="D9"/>
            <w:vAlign w:val="center"/>
          </w:tcPr>
          <w:p>
            <w:pPr>
              <w:pStyle w:val="93"/>
              <w:widowControl w:val="0"/>
              <w:ind w:firstLine="361"/>
              <w:rPr>
                <w:rFonts w:ascii="仿宋_GB2312" w:eastAsia="仿宋_GB2312"/>
                <w:b/>
                <w:color w:val="auto"/>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jc w:val="center"/>
        </w:trPr>
        <w:tc>
          <w:tcPr>
            <w:tcW w:w="508" w:type="pct"/>
            <w:vMerge w:val="restar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环线</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G325</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东城-热水</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6/4</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6/4</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17.77</w:t>
            </w:r>
          </w:p>
        </w:tc>
        <w:tc>
          <w:tcPr>
            <w:tcW w:w="1197" w:type="pct"/>
            <w:vMerge w:val="restar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合山莲塘古驿村、东湖星岛旅游区、新洲地热公园、长寿河红树林国家湿地公园、阳江漆艺院、雅韶艺术村、福兴生态园、十八子音响博物馆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3"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X819</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热水-新洲</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24.86</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S276</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新洲-平田</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1.42</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西部沿海高速</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平田-东城</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高速</w:t>
            </w:r>
          </w:p>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公路</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高速</w:t>
            </w:r>
          </w:p>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公路</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28.72</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508" w:type="pct"/>
            <w:vMerge w:val="restar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射线一</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G325</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热水-石及村</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5.13</w:t>
            </w:r>
          </w:p>
        </w:tc>
        <w:tc>
          <w:tcPr>
            <w:tcW w:w="1197" w:type="pct"/>
            <w:vMerge w:val="restar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那龙河古码头、田畔美食、周享铜鼓、大八古城温泉、珠环山水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S386</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石及村-大坪山</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28.95</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S539</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大坪山-白蒙</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二级/三级/四级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8.38</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3"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X592</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白蒙-大八珠环</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7.86</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X592</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大八珠环-阳东林场</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11.21</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射线二</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X820</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黄其龙村-河仔</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11.50</w:t>
            </w:r>
          </w:p>
        </w:tc>
        <w:tc>
          <w:tcPr>
            <w:tcW w:w="1197"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北桂田园体验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射线三</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S276</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新洲-三山</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二级/三级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9.78</w:t>
            </w:r>
          </w:p>
        </w:tc>
        <w:tc>
          <w:tcPr>
            <w:tcW w:w="1197"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紫罗山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射线四</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广东滨海旅游公路</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雅韶-田头屋</w:t>
            </w:r>
          </w:p>
        </w:tc>
        <w:tc>
          <w:tcPr>
            <w:tcW w:w="791" w:type="pct"/>
            <w:gridSpan w:val="2"/>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新规划</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32.29</w:t>
            </w:r>
          </w:p>
        </w:tc>
        <w:tc>
          <w:tcPr>
            <w:tcW w:w="1197"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北津古港、阳东湾、北环渔人码头、珍珠湾、飞龙寺、东平渔港、大澳渔村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联络线一</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Y508</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白蒙-走马坪</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7.09</w:t>
            </w:r>
          </w:p>
        </w:tc>
        <w:tc>
          <w:tcPr>
            <w:tcW w:w="1197"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跑马坪高山草甸风光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restar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联络线二</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S297</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那甲-历屯</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2.32</w:t>
            </w:r>
          </w:p>
        </w:tc>
        <w:tc>
          <w:tcPr>
            <w:tcW w:w="1197" w:type="pct"/>
            <w:vMerge w:val="restar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田畔牛银村、田畔瀑布</w:t>
            </w:r>
          </w:p>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C345</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历屯-山花</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3.10</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restar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联络线三</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X595</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三山-乌石</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5.86</w:t>
            </w:r>
          </w:p>
        </w:tc>
        <w:tc>
          <w:tcPr>
            <w:tcW w:w="1197" w:type="pct"/>
            <w:vMerge w:val="restar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表竹恩阳台独立大队红色旅游村、陈醉美术馆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S276</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乌石-赤坎</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0.92</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S297</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赤坎-大沟</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一级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3.95</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联络线四</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X598</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雅韶-北津港</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5.21</w:t>
            </w:r>
          </w:p>
        </w:tc>
        <w:tc>
          <w:tcPr>
            <w:tcW w:w="1197"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雅韶十八座、北津古港、北津独石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restar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联络线五</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Y411</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寿长大道牌楼-寿长河</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3.03</w:t>
            </w:r>
          </w:p>
        </w:tc>
        <w:tc>
          <w:tcPr>
            <w:tcW w:w="1197" w:type="pct"/>
            <w:vMerge w:val="restar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三丫湾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vAlign w:val="center"/>
          </w:tcPr>
          <w:p>
            <w:pPr>
              <w:widowControl w:val="0"/>
              <w:adjustRightInd w:val="0"/>
              <w:snapToGrid w:val="0"/>
              <w:spacing w:line="300" w:lineRule="exact"/>
              <w:ind w:firstLine="0" w:firstLineChars="0"/>
              <w:jc w:val="center"/>
              <w:rPr>
                <w:rFonts w:eastAsia="方正仿宋简体"/>
                <w:b/>
                <w:bCs/>
                <w:kern w:val="0"/>
                <w:sz w:val="21"/>
                <w:szCs w:val="21"/>
              </w:rPr>
            </w:pP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寿长河-寿长河</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新建</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0.50</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1197" w:type="pct"/>
            <w:vMerge w:val="continue"/>
            <w:vAlign w:val="center"/>
          </w:tcPr>
          <w:p>
            <w:pPr>
              <w:widowControl w:val="0"/>
              <w:adjustRightInd w:val="0"/>
              <w:snapToGrid w:val="0"/>
              <w:spacing w:line="280" w:lineRule="exact"/>
              <w:ind w:firstLine="0" w:firstLineChars="0"/>
              <w:jc w:val="center"/>
              <w:rPr>
                <w:rFonts w:eastAsia="方正仿宋简体"/>
                <w:bCs/>
                <w:kern w:val="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Align w:val="center"/>
          </w:tcPr>
          <w:p>
            <w:pPr>
              <w:widowControl w:val="0"/>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联络线六</w:t>
            </w:r>
          </w:p>
        </w:tc>
        <w:tc>
          <w:tcPr>
            <w:tcW w:w="43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Y416</w:t>
            </w:r>
          </w:p>
        </w:tc>
        <w:tc>
          <w:tcPr>
            <w:tcW w:w="75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北环桥-小办村</w:t>
            </w:r>
          </w:p>
        </w:tc>
        <w:tc>
          <w:tcPr>
            <w:tcW w:w="388"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四级</w:t>
            </w:r>
          </w:p>
        </w:tc>
        <w:tc>
          <w:tcPr>
            <w:tcW w:w="402"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344"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二级</w:t>
            </w:r>
          </w:p>
        </w:tc>
        <w:tc>
          <w:tcPr>
            <w:tcW w:w="345"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30"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6.81</w:t>
            </w:r>
          </w:p>
        </w:tc>
        <w:tc>
          <w:tcPr>
            <w:tcW w:w="1197" w:type="pct"/>
            <w:vAlign w:val="center"/>
          </w:tcPr>
          <w:p>
            <w:pPr>
              <w:widowControl w:val="0"/>
              <w:adjustRightInd w:val="0"/>
              <w:snapToGrid w:val="0"/>
              <w:spacing w:line="280" w:lineRule="exact"/>
              <w:ind w:firstLine="0" w:firstLineChars="0"/>
              <w:jc w:val="center"/>
              <w:rPr>
                <w:rFonts w:eastAsia="方正仿宋简体"/>
                <w:bCs/>
                <w:kern w:val="0"/>
                <w:sz w:val="21"/>
                <w:szCs w:val="21"/>
              </w:rPr>
            </w:pPr>
            <w:r>
              <w:rPr>
                <w:rFonts w:eastAsia="方正仿宋简体"/>
                <w:bCs/>
                <w:kern w:val="0"/>
                <w:sz w:val="21"/>
                <w:szCs w:val="21"/>
              </w:rPr>
              <w:t>仙人井</w:t>
            </w:r>
          </w:p>
        </w:tc>
      </w:tr>
      <w:bookmarkEnd w:id="108"/>
    </w:tbl>
    <w:p>
      <w:pPr>
        <w:tabs>
          <w:tab w:val="left" w:pos="1350"/>
        </w:tabs>
        <w:ind w:firstLine="600"/>
        <w:rPr>
          <w:rFonts w:ascii="仿宋_GB2312" w:hAnsi="华文中宋" w:eastAsia="仿宋_GB2312"/>
          <w:sz w:val="30"/>
          <w:szCs w:val="30"/>
        </w:rPr>
        <w:sectPr>
          <w:pgSz w:w="11906" w:h="16838"/>
          <w:pgMar w:top="1814" w:right="1531" w:bottom="1814" w:left="1531" w:header="851" w:footer="992" w:gutter="0"/>
          <w:cols w:space="425" w:num="1"/>
          <w:docGrid w:type="lines" w:linePitch="381" w:charSpace="0"/>
        </w:sectPr>
      </w:pPr>
    </w:p>
    <w:p>
      <w:pPr>
        <w:pStyle w:val="2"/>
        <w:keepNext w:val="0"/>
        <w:keepLines w:val="0"/>
        <w:spacing w:line="570" w:lineRule="exact"/>
        <w:textAlignment w:val="auto"/>
        <w:rPr>
          <w:rFonts w:hAnsi="黑体"/>
          <w:b w:val="0"/>
          <w:sz w:val="32"/>
          <w:szCs w:val="32"/>
        </w:rPr>
      </w:pPr>
      <w:bookmarkStart w:id="109" w:name="_Toc117693225"/>
      <w:bookmarkStart w:id="110" w:name="_Toc100302739"/>
      <w:bookmarkStart w:id="111" w:name="_Toc99633328"/>
      <w:bookmarkStart w:id="112" w:name="_Toc112854904"/>
      <w:bookmarkStart w:id="113" w:name="_Toc109811268"/>
      <w:r>
        <w:rPr>
          <w:rFonts w:hint="eastAsia" w:ascii="Times New Roman" w:hAnsi="Times New Roman" w:eastAsia="方正小标宋简体"/>
          <w:b w:val="0"/>
          <w:sz w:val="32"/>
          <w:szCs w:val="32"/>
        </w:rPr>
        <w:t>附表八</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阳东区综合客运枢纽规划一览表</w:t>
      </w:r>
      <w:bookmarkEnd w:id="109"/>
      <w:bookmarkEnd w:id="110"/>
      <w:bookmarkEnd w:id="111"/>
      <w:bookmarkEnd w:id="112"/>
      <w:bookmarkEnd w:id="113"/>
    </w:p>
    <w:tbl>
      <w:tblPr>
        <w:tblStyle w:val="67"/>
        <w:tblW w:w="5567" w:type="pct"/>
        <w:tblInd w:w="-44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07"/>
        <w:gridCol w:w="473"/>
        <w:gridCol w:w="1156"/>
        <w:gridCol w:w="1719"/>
        <w:gridCol w:w="1315"/>
        <w:gridCol w:w="1047"/>
        <w:gridCol w:w="541"/>
        <w:gridCol w:w="471"/>
        <w:gridCol w:w="471"/>
        <w:gridCol w:w="719"/>
        <w:gridCol w:w="5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531" w:type="pct"/>
            <w:vMerge w:val="restar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bookmarkStart w:id="114" w:name="_Hlk97718487"/>
            <w:r>
              <w:rPr>
                <w:rFonts w:hint="eastAsia" w:ascii="仿宋_GB2312" w:eastAsia="黑体"/>
                <w:bCs/>
                <w:kern w:val="0"/>
                <w:sz w:val="21"/>
                <w:szCs w:val="21"/>
              </w:rPr>
              <w:t>枢纽</w:t>
            </w:r>
          </w:p>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布局</w:t>
            </w:r>
          </w:p>
        </w:tc>
        <w:tc>
          <w:tcPr>
            <w:tcW w:w="249" w:type="pct"/>
            <w:vMerge w:val="restar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序号</w:t>
            </w:r>
          </w:p>
        </w:tc>
        <w:tc>
          <w:tcPr>
            <w:tcW w:w="609" w:type="pct"/>
            <w:vMerge w:val="restar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枢纽</w:t>
            </w:r>
          </w:p>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名称</w:t>
            </w:r>
          </w:p>
        </w:tc>
        <w:tc>
          <w:tcPr>
            <w:tcW w:w="906" w:type="pct"/>
            <w:vMerge w:val="restar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位置及辐射方向</w:t>
            </w:r>
          </w:p>
        </w:tc>
        <w:tc>
          <w:tcPr>
            <w:tcW w:w="693" w:type="pct"/>
            <w:vMerge w:val="restar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功能定位</w:t>
            </w:r>
          </w:p>
        </w:tc>
        <w:tc>
          <w:tcPr>
            <w:tcW w:w="552" w:type="pct"/>
            <w:vMerge w:val="restar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面积（万平方米）</w:t>
            </w:r>
          </w:p>
        </w:tc>
        <w:tc>
          <w:tcPr>
            <w:tcW w:w="1460" w:type="pct"/>
            <w:gridSpan w:val="5"/>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衔接方式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531" w:type="pct"/>
            <w:vMerge w:val="continue"/>
            <w:vAlign w:val="center"/>
          </w:tcPr>
          <w:p>
            <w:pPr>
              <w:adjustRightInd w:val="0"/>
              <w:snapToGrid w:val="0"/>
              <w:spacing w:line="240" w:lineRule="auto"/>
              <w:ind w:firstLine="0" w:firstLineChars="0"/>
              <w:jc w:val="center"/>
              <w:rPr>
                <w:rFonts w:ascii="仿宋_GB2312" w:eastAsia="黑体"/>
                <w:bCs/>
                <w:kern w:val="0"/>
                <w:sz w:val="21"/>
                <w:szCs w:val="21"/>
              </w:rPr>
            </w:pPr>
          </w:p>
        </w:tc>
        <w:tc>
          <w:tcPr>
            <w:tcW w:w="249" w:type="pct"/>
            <w:vMerge w:val="continue"/>
            <w:vAlign w:val="center"/>
          </w:tcPr>
          <w:p>
            <w:pPr>
              <w:adjustRightInd w:val="0"/>
              <w:snapToGrid w:val="0"/>
              <w:spacing w:line="240" w:lineRule="auto"/>
              <w:ind w:firstLine="0" w:firstLineChars="0"/>
              <w:jc w:val="center"/>
              <w:rPr>
                <w:rFonts w:ascii="仿宋_GB2312" w:eastAsia="黑体"/>
                <w:bCs/>
                <w:kern w:val="0"/>
                <w:sz w:val="21"/>
                <w:szCs w:val="21"/>
              </w:rPr>
            </w:pPr>
          </w:p>
        </w:tc>
        <w:tc>
          <w:tcPr>
            <w:tcW w:w="609" w:type="pct"/>
            <w:vMerge w:val="continue"/>
            <w:vAlign w:val="center"/>
          </w:tcPr>
          <w:p>
            <w:pPr>
              <w:adjustRightInd w:val="0"/>
              <w:snapToGrid w:val="0"/>
              <w:spacing w:line="240" w:lineRule="auto"/>
              <w:ind w:firstLine="0" w:firstLineChars="0"/>
              <w:jc w:val="center"/>
              <w:rPr>
                <w:rFonts w:ascii="仿宋_GB2312" w:eastAsia="黑体"/>
                <w:bCs/>
                <w:kern w:val="0"/>
                <w:sz w:val="21"/>
                <w:szCs w:val="21"/>
              </w:rPr>
            </w:pPr>
          </w:p>
        </w:tc>
        <w:tc>
          <w:tcPr>
            <w:tcW w:w="906" w:type="pct"/>
            <w:vMerge w:val="continue"/>
            <w:vAlign w:val="center"/>
          </w:tcPr>
          <w:p>
            <w:pPr>
              <w:adjustRightInd w:val="0"/>
              <w:snapToGrid w:val="0"/>
              <w:spacing w:line="240" w:lineRule="auto"/>
              <w:ind w:firstLine="0" w:firstLineChars="0"/>
              <w:jc w:val="center"/>
              <w:rPr>
                <w:rFonts w:ascii="仿宋_GB2312" w:eastAsia="黑体"/>
                <w:bCs/>
                <w:kern w:val="0"/>
                <w:sz w:val="21"/>
                <w:szCs w:val="21"/>
              </w:rPr>
            </w:pPr>
          </w:p>
        </w:tc>
        <w:tc>
          <w:tcPr>
            <w:tcW w:w="693" w:type="pct"/>
            <w:vMerge w:val="continue"/>
            <w:vAlign w:val="center"/>
          </w:tcPr>
          <w:p>
            <w:pPr>
              <w:adjustRightInd w:val="0"/>
              <w:snapToGrid w:val="0"/>
              <w:spacing w:line="240" w:lineRule="auto"/>
              <w:ind w:firstLine="0" w:firstLineChars="0"/>
              <w:jc w:val="center"/>
              <w:rPr>
                <w:rFonts w:ascii="仿宋_GB2312" w:eastAsia="黑体"/>
                <w:bCs/>
                <w:kern w:val="0"/>
                <w:sz w:val="21"/>
                <w:szCs w:val="21"/>
              </w:rPr>
            </w:pPr>
          </w:p>
        </w:tc>
        <w:tc>
          <w:tcPr>
            <w:tcW w:w="552" w:type="pct"/>
            <w:vMerge w:val="continue"/>
            <w:vAlign w:val="center"/>
          </w:tcPr>
          <w:p>
            <w:pPr>
              <w:adjustRightInd w:val="0"/>
              <w:snapToGrid w:val="0"/>
              <w:spacing w:line="240" w:lineRule="auto"/>
              <w:ind w:firstLine="0" w:firstLineChars="0"/>
              <w:jc w:val="center"/>
              <w:rPr>
                <w:rFonts w:ascii="仿宋_GB2312" w:eastAsia="黑体"/>
                <w:bCs/>
                <w:kern w:val="0"/>
                <w:sz w:val="21"/>
                <w:szCs w:val="21"/>
              </w:rPr>
            </w:pPr>
          </w:p>
        </w:tc>
        <w:tc>
          <w:tcPr>
            <w:tcW w:w="285" w:type="pc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公路</w:t>
            </w:r>
          </w:p>
        </w:tc>
        <w:tc>
          <w:tcPr>
            <w:tcW w:w="248" w:type="pc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铁路</w:t>
            </w:r>
          </w:p>
        </w:tc>
        <w:tc>
          <w:tcPr>
            <w:tcW w:w="248" w:type="pc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航空</w:t>
            </w:r>
          </w:p>
        </w:tc>
        <w:tc>
          <w:tcPr>
            <w:tcW w:w="379" w:type="pc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公共交通</w:t>
            </w:r>
          </w:p>
        </w:tc>
        <w:tc>
          <w:tcPr>
            <w:tcW w:w="300" w:type="pct"/>
            <w:shd w:val="clear" w:color="auto" w:fill="auto"/>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restart"/>
            <w:shd w:val="clear" w:color="auto" w:fill="auto"/>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二主</w:t>
            </w:r>
          </w:p>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（区域级客运枢纽）</w:t>
            </w: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阳东综合客运枢纽</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阳东区合山镇，辐射区域周边各组团</w:t>
            </w:r>
          </w:p>
        </w:tc>
        <w:tc>
          <w:tcPr>
            <w:tcW w:w="693" w:type="pct"/>
            <w:vMerge w:val="restar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重要对外门户枢纽，主要满足中长途对外客运出行需要</w:t>
            </w: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shd w:val="clear" w:color="auto" w:fill="auto"/>
            <w:vAlign w:val="center"/>
          </w:tcPr>
          <w:p>
            <w:pPr>
              <w:adjustRightInd w:val="0"/>
              <w:snapToGrid w:val="0"/>
              <w:spacing w:line="300" w:lineRule="exact"/>
              <w:ind w:firstLine="0" w:firstLineChars="0"/>
              <w:jc w:val="center"/>
              <w:rPr>
                <w:rFonts w:eastAsia="方正仿宋简体"/>
                <w:b/>
                <w:bCs/>
                <w:kern w:val="0"/>
                <w:sz w:val="21"/>
                <w:szCs w:val="21"/>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阳东区湖滨西路一号，辐射区域周边各组团</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3</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restart"/>
            <w:shd w:val="clear" w:color="auto" w:fill="auto"/>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三辅</w:t>
            </w:r>
          </w:p>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（市域级客运枢纽）</w:t>
            </w: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3</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合山综合客运枢纽</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阳东区合广路附近，辐射阳东区内各组团</w:t>
            </w:r>
          </w:p>
        </w:tc>
        <w:tc>
          <w:tcPr>
            <w:tcW w:w="693" w:type="pct"/>
            <w:vMerge w:val="restar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次级对外客运交通门户，重点满足中短途对外客运出行及组团间、组团内交通出行需要</w:t>
            </w: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shd w:val="clear" w:color="auto" w:fill="auto"/>
            <w:vAlign w:val="center"/>
          </w:tcPr>
          <w:p>
            <w:pPr>
              <w:adjustRightInd w:val="0"/>
              <w:snapToGrid w:val="0"/>
              <w:spacing w:line="300" w:lineRule="exact"/>
              <w:ind w:firstLine="0" w:firstLineChars="0"/>
              <w:jc w:val="center"/>
              <w:rPr>
                <w:rFonts w:eastAsia="方正仿宋简体"/>
                <w:b/>
                <w:bCs/>
                <w:kern w:val="0"/>
                <w:sz w:val="21"/>
                <w:szCs w:val="21"/>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4</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北惯客运站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赤平铜鼓岭325国道南边，辐射阳东区内各组团</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0.8</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shd w:val="clear" w:color="auto" w:fill="auto"/>
            <w:vAlign w:val="center"/>
          </w:tcPr>
          <w:p>
            <w:pPr>
              <w:adjustRightInd w:val="0"/>
              <w:snapToGrid w:val="0"/>
              <w:spacing w:line="300" w:lineRule="exact"/>
              <w:ind w:firstLine="0" w:firstLineChars="0"/>
              <w:jc w:val="center"/>
              <w:rPr>
                <w:rFonts w:eastAsia="方正仿宋简体"/>
                <w:b/>
                <w:bCs/>
                <w:kern w:val="0"/>
                <w:sz w:val="21"/>
                <w:szCs w:val="21"/>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5</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东平客运站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东平镇海朗滨东路，辐射阳东区内各组团</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restart"/>
            <w:shd w:val="clear" w:color="auto" w:fill="auto"/>
            <w:vAlign w:val="center"/>
          </w:tcPr>
          <w:p>
            <w:pPr>
              <w:adjustRightInd w:val="0"/>
              <w:snapToGrid w:val="0"/>
              <w:spacing w:line="300" w:lineRule="exact"/>
              <w:ind w:firstLine="0" w:firstLineChars="0"/>
              <w:jc w:val="center"/>
              <w:rPr>
                <w:rFonts w:eastAsia="方正仿宋简体"/>
                <w:b/>
                <w:bCs/>
                <w:kern w:val="0"/>
                <w:sz w:val="21"/>
                <w:szCs w:val="21"/>
              </w:rPr>
            </w:pPr>
            <w:r>
              <w:rPr>
                <w:rFonts w:eastAsia="方正仿宋简体"/>
                <w:b/>
                <w:bCs/>
                <w:kern w:val="0"/>
                <w:sz w:val="21"/>
                <w:szCs w:val="21"/>
              </w:rPr>
              <w:t>八节点（片区级客运枢纽）</w:t>
            </w: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6</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新洲客运站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阳东区新洲镇，辐射片区内各组团</w:t>
            </w:r>
          </w:p>
        </w:tc>
        <w:tc>
          <w:tcPr>
            <w:tcW w:w="693" w:type="pct"/>
            <w:vMerge w:val="restar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主要承担片区内的公路客运，基本配有大中运量公交、常规公交、出租车和自行车等交通接驳方式，部分枢纽兼顾公路客运功能</w:t>
            </w: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0.07</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7</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东平良洞客运站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G228与S365交叉路口东南70米，辐射片区内各组团</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8</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雅韶客运站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阳东区雅韶镇G228旁，辐射片区内各组团</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0.07</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9</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大八客运站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阳东区X592吉水村委会附近</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10</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大沟客运站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阳东区G228与S365交叉路口往西南约230米</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11</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那龙客运站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那龙镇人民政府东北侧约280米</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12</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塘坪客运站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阳东区塘坪医院南侧约160米</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31" w:type="pct"/>
            <w:vMerge w:val="continue"/>
            <w:vAlign w:val="center"/>
          </w:tcPr>
          <w:p>
            <w:pPr>
              <w:widowControl w:val="0"/>
              <w:spacing w:line="300" w:lineRule="exact"/>
              <w:ind w:firstLine="0" w:firstLineChars="0"/>
              <w:jc w:val="center"/>
              <w:rPr>
                <w:rFonts w:eastAsia="方正仿宋简体"/>
                <w:sz w:val="24"/>
                <w:szCs w:val="24"/>
              </w:rPr>
            </w:pPr>
          </w:p>
        </w:tc>
        <w:tc>
          <w:tcPr>
            <w:tcW w:w="24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13</w:t>
            </w:r>
          </w:p>
        </w:tc>
        <w:tc>
          <w:tcPr>
            <w:tcW w:w="60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红丰客运站</w:t>
            </w:r>
          </w:p>
        </w:tc>
        <w:tc>
          <w:tcPr>
            <w:tcW w:w="906"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阳东区与江城区交界附近X592旁</w:t>
            </w:r>
          </w:p>
        </w:tc>
        <w:tc>
          <w:tcPr>
            <w:tcW w:w="693" w:type="pct"/>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552"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0.02</w:t>
            </w:r>
          </w:p>
        </w:tc>
        <w:tc>
          <w:tcPr>
            <w:tcW w:w="285"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ascii="Cambria Math" w:hAnsi="Cambria Math" w:eastAsia="方正仿宋简体" w:cs="Cambria Math"/>
                <w:bCs/>
                <w:kern w:val="0"/>
                <w:sz w:val="21"/>
                <w:szCs w:val="21"/>
              </w:rPr>
              <w:t>△</w:t>
            </w: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248"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p>
        </w:tc>
        <w:tc>
          <w:tcPr>
            <w:tcW w:w="379"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c>
          <w:tcPr>
            <w:tcW w:w="300" w:type="pct"/>
            <w:shd w:val="clear" w:color="auto" w:fill="auto"/>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w:t>
            </w:r>
          </w:p>
        </w:tc>
      </w:tr>
      <w:bookmarkEnd w:id="114"/>
    </w:tbl>
    <w:p>
      <w:pPr>
        <w:spacing w:line="240" w:lineRule="auto"/>
        <w:ind w:firstLine="0" w:firstLineChars="0"/>
        <w:rPr>
          <w:rFonts w:eastAsia="方正小标宋简体"/>
          <w:kern w:val="44"/>
          <w:sz w:val="44"/>
        </w:rPr>
      </w:pPr>
      <w:bookmarkStart w:id="115" w:name="_Toc100302740"/>
      <w:bookmarkStart w:id="116" w:name="_Toc117693226"/>
      <w:bookmarkStart w:id="117" w:name="_Toc109811269"/>
      <w:bookmarkStart w:id="118" w:name="_Toc99633329"/>
      <w:bookmarkStart w:id="119" w:name="_Toc112854905"/>
      <w:r>
        <w:rPr>
          <w:rFonts w:eastAsia="方正小标宋简体"/>
          <w:b/>
          <w:sz w:val="44"/>
        </w:rPr>
        <w:br w:type="page"/>
      </w:r>
    </w:p>
    <w:p>
      <w:pPr>
        <w:pStyle w:val="2"/>
        <w:keepNext w:val="0"/>
        <w:keepLines w:val="0"/>
        <w:spacing w:line="570" w:lineRule="exact"/>
        <w:textAlignment w:val="auto"/>
        <w:rPr>
          <w:rFonts w:hAnsi="黑体"/>
          <w:b w:val="0"/>
          <w:spacing w:val="-20"/>
          <w:sz w:val="32"/>
          <w:szCs w:val="32"/>
        </w:rPr>
      </w:pPr>
      <w:r>
        <w:rPr>
          <w:rFonts w:hint="eastAsia" w:ascii="Times New Roman" w:hAnsi="Times New Roman" w:eastAsia="方正小标宋简体"/>
          <w:b w:val="0"/>
          <w:spacing w:val="-20"/>
          <w:sz w:val="32"/>
          <w:szCs w:val="32"/>
        </w:rPr>
        <w:t>附表九</w:t>
      </w:r>
      <w:r>
        <w:rPr>
          <w:rFonts w:ascii="Times New Roman" w:hAnsi="Times New Roman" w:eastAsia="方正小标宋简体"/>
          <w:b w:val="0"/>
          <w:spacing w:val="-20"/>
          <w:sz w:val="32"/>
          <w:szCs w:val="32"/>
        </w:rPr>
        <w:t xml:space="preserve">  </w:t>
      </w:r>
      <w:r>
        <w:rPr>
          <w:rFonts w:hint="eastAsia" w:ascii="Times New Roman" w:hAnsi="Times New Roman" w:eastAsia="方正小标宋简体"/>
          <w:b w:val="0"/>
          <w:spacing w:val="-20"/>
          <w:sz w:val="32"/>
          <w:szCs w:val="32"/>
        </w:rPr>
        <w:t>阳东区综合货运枢纽布局规划一览表</w:t>
      </w:r>
      <w:bookmarkEnd w:id="115"/>
      <w:bookmarkEnd w:id="116"/>
      <w:bookmarkEnd w:id="117"/>
      <w:bookmarkEnd w:id="118"/>
      <w:bookmarkEnd w:id="119"/>
    </w:p>
    <w:tbl>
      <w:tblPr>
        <w:tblStyle w:val="67"/>
        <w:tblW w:w="106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44"/>
        <w:gridCol w:w="1285"/>
        <w:gridCol w:w="1409"/>
        <w:gridCol w:w="1275"/>
        <w:gridCol w:w="5103"/>
        <w:gridCol w:w="9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3" w:hRule="atLeast"/>
          <w:tblHeader/>
          <w:jc w:val="center"/>
        </w:trPr>
        <w:tc>
          <w:tcPr>
            <w:tcW w:w="544" w:type="dxa"/>
            <w:shd w:val="clear" w:color="auto" w:fill="FFFFFF"/>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类型</w:t>
            </w:r>
          </w:p>
        </w:tc>
        <w:tc>
          <w:tcPr>
            <w:tcW w:w="1285"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货运物流</w:t>
            </w:r>
          </w:p>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节点名称</w:t>
            </w:r>
          </w:p>
        </w:tc>
        <w:tc>
          <w:tcPr>
            <w:tcW w:w="1409"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位置</w:t>
            </w:r>
          </w:p>
        </w:tc>
        <w:tc>
          <w:tcPr>
            <w:tcW w:w="1275" w:type="dxa"/>
            <w:shd w:val="clear" w:color="auto" w:fill="FFFFFF"/>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占地面积（平方米）</w:t>
            </w:r>
          </w:p>
        </w:tc>
        <w:tc>
          <w:tcPr>
            <w:tcW w:w="5103"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功能定位</w:t>
            </w:r>
          </w:p>
        </w:tc>
        <w:tc>
          <w:tcPr>
            <w:tcW w:w="993" w:type="dxa"/>
            <w:shd w:val="clear" w:color="auto" w:fill="FFFFFF"/>
            <w:vAlign w:val="center"/>
          </w:tcPr>
          <w:p>
            <w:pPr>
              <w:adjustRightInd w:val="0"/>
              <w:snapToGrid w:val="0"/>
              <w:spacing w:line="240" w:lineRule="auto"/>
              <w:ind w:firstLine="0" w:firstLineChars="0"/>
              <w:jc w:val="center"/>
              <w:rPr>
                <w:rFonts w:ascii="仿宋_GB2312" w:eastAsia="黑体"/>
                <w:bCs/>
                <w:kern w:val="0"/>
                <w:sz w:val="21"/>
                <w:szCs w:val="21"/>
              </w:rPr>
            </w:pPr>
            <w:r>
              <w:rPr>
                <w:rFonts w:hint="eastAsia" w:ascii="仿宋_GB2312" w:eastAsia="黑体"/>
                <w:bCs/>
                <w:kern w:val="0"/>
                <w:sz w:val="21"/>
                <w:szCs w:val="21"/>
              </w:rPr>
              <w:t>主要运输方式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6" w:hRule="atLeast"/>
          <w:jc w:val="center"/>
        </w:trPr>
        <w:tc>
          <w:tcPr>
            <w:tcW w:w="544" w:type="dxa"/>
            <w:vMerge w:val="restart"/>
            <w:vAlign w:val="center"/>
          </w:tcPr>
          <w:p>
            <w:pPr>
              <w:adjustRightInd w:val="0"/>
              <w:snapToGrid w:val="0"/>
              <w:spacing w:line="300" w:lineRule="exact"/>
              <w:ind w:firstLine="0" w:firstLineChars="0"/>
              <w:jc w:val="center"/>
              <w:rPr>
                <w:rFonts w:eastAsia="方正仿宋简体"/>
                <w:b/>
                <w:kern w:val="0"/>
                <w:sz w:val="21"/>
                <w:szCs w:val="21"/>
              </w:rPr>
            </w:pPr>
            <w:r>
              <w:rPr>
                <w:rFonts w:eastAsia="方正仿宋简体"/>
                <w:b/>
                <w:kern w:val="0"/>
                <w:sz w:val="21"/>
                <w:szCs w:val="21"/>
              </w:rPr>
              <w:t>物流中心</w:t>
            </w:r>
          </w:p>
          <w:p>
            <w:pPr>
              <w:adjustRightInd w:val="0"/>
              <w:snapToGrid w:val="0"/>
              <w:spacing w:line="300" w:lineRule="exact"/>
              <w:ind w:firstLine="420"/>
              <w:jc w:val="center"/>
              <w:rPr>
                <w:rFonts w:eastAsia="方正仿宋简体"/>
                <w:bCs/>
                <w:kern w:val="0"/>
                <w:sz w:val="21"/>
                <w:szCs w:val="21"/>
              </w:rPr>
            </w:pPr>
            <w:r>
              <w:rPr>
                <w:rFonts w:eastAsia="方正仿宋简体"/>
                <w:bCs/>
                <w:kern w:val="0"/>
                <w:sz w:val="21"/>
                <w:szCs w:val="21"/>
              </w:rPr>
              <w:t>3</w:t>
            </w: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合山综合物流园区</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合山机场、阳东高铁站片区</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依托深茂铁路阳东站、合山通用机场、以及沈海高速打造合山综合物流园区，具备综合型仓储分拨、包装加工、信息配载、城市配送等功能，实现公铁空多式联运，支撑广东阳东经济开发区合力打造国家级经济开发区，构建阳东工业产业核心载体。</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航空、铁路、</w:t>
            </w:r>
          </w:p>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阳东综合物流园区</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西部沿海高速阳东收费站片区</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5000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基于东城镇作为“广东省五金刀具专业镇”的产业发展优势，打造阳东综合物流园区，为阳东传统产业片区提供装卸、仓储、信息配载物流配套服务，兼具城市配送功能，支撑广东阳东经济开发区合力打造国家级经济开发区，构建阳东工业产业核心载体。</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 w:hRule="atLeast"/>
          <w:jc w:val="center"/>
        </w:trPr>
        <w:tc>
          <w:tcPr>
            <w:tcW w:w="54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东平物流园区</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东平港</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东平港作为全国知名的渔港、国家级中心渔港和全国文明渔港，具有水陆港联运得天独厚的条件。以海洋渔业、水产品深加工、核电配套产业、海上风电产业等为主要服务对象，打造集仓储、中转、装卸、配送于一体的现代物流园区，重点发展东平港及周边区域的冷链物流基地。</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公路、水路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1" w:hRule="atLeast"/>
          <w:jc w:val="center"/>
        </w:trPr>
        <w:tc>
          <w:tcPr>
            <w:tcW w:w="544" w:type="dxa"/>
            <w:vMerge w:val="restart"/>
            <w:vAlign w:val="center"/>
          </w:tcPr>
          <w:p>
            <w:pPr>
              <w:adjustRightInd w:val="0"/>
              <w:snapToGrid w:val="0"/>
              <w:spacing w:line="300" w:lineRule="exact"/>
              <w:ind w:firstLine="420"/>
              <w:jc w:val="center"/>
              <w:rPr>
                <w:rFonts w:eastAsia="方正仿宋简体"/>
                <w:bCs/>
                <w:kern w:val="0"/>
                <w:sz w:val="21"/>
                <w:szCs w:val="21"/>
              </w:rPr>
            </w:pPr>
            <w:r>
              <w:rPr>
                <w:rFonts w:eastAsia="方正仿宋简体"/>
                <w:bCs/>
                <w:kern w:val="0"/>
                <w:sz w:val="21"/>
                <w:szCs w:val="21"/>
              </w:rPr>
              <w:t>配</w:t>
            </w:r>
          </w:p>
          <w:p>
            <w:pPr>
              <w:adjustRightInd w:val="0"/>
              <w:snapToGrid w:val="0"/>
              <w:spacing w:line="300" w:lineRule="exact"/>
              <w:ind w:firstLine="420"/>
              <w:jc w:val="center"/>
              <w:rPr>
                <w:rFonts w:eastAsia="方正仿宋简体"/>
                <w:bCs/>
                <w:kern w:val="0"/>
                <w:sz w:val="21"/>
                <w:szCs w:val="21"/>
              </w:rPr>
            </w:pPr>
          </w:p>
          <w:p>
            <w:pPr>
              <w:adjustRightInd w:val="0"/>
              <w:snapToGrid w:val="0"/>
              <w:spacing w:line="300" w:lineRule="exact"/>
              <w:ind w:firstLine="420"/>
              <w:jc w:val="center"/>
              <w:rPr>
                <w:rFonts w:eastAsia="方正仿宋简体"/>
                <w:bCs/>
                <w:kern w:val="0"/>
                <w:sz w:val="21"/>
                <w:szCs w:val="21"/>
              </w:rPr>
            </w:pPr>
          </w:p>
          <w:p>
            <w:pPr>
              <w:adjustRightInd w:val="0"/>
              <w:snapToGrid w:val="0"/>
              <w:spacing w:line="300" w:lineRule="exact"/>
              <w:ind w:firstLine="420"/>
              <w:jc w:val="center"/>
              <w:rPr>
                <w:rFonts w:eastAsia="方正仿宋简体"/>
                <w:bCs/>
                <w:kern w:val="0"/>
                <w:sz w:val="21"/>
                <w:szCs w:val="21"/>
              </w:rPr>
            </w:pPr>
          </w:p>
          <w:p>
            <w:pPr>
              <w:adjustRightInd w:val="0"/>
              <w:snapToGrid w:val="0"/>
              <w:spacing w:line="300" w:lineRule="exact"/>
              <w:ind w:firstLine="420"/>
              <w:jc w:val="center"/>
              <w:rPr>
                <w:rFonts w:eastAsia="方正仿宋简体"/>
                <w:bCs/>
                <w:kern w:val="0"/>
                <w:sz w:val="21"/>
                <w:szCs w:val="21"/>
              </w:rPr>
            </w:pPr>
          </w:p>
          <w:p>
            <w:pPr>
              <w:adjustRightInd w:val="0"/>
              <w:snapToGrid w:val="0"/>
              <w:spacing w:line="300" w:lineRule="exact"/>
              <w:ind w:firstLine="420"/>
              <w:jc w:val="center"/>
              <w:rPr>
                <w:rFonts w:eastAsia="方正仿宋简体"/>
                <w:bCs/>
                <w:kern w:val="0"/>
                <w:sz w:val="21"/>
                <w:szCs w:val="21"/>
              </w:rPr>
            </w:pPr>
            <w:r>
              <w:rPr>
                <w:rFonts w:eastAsia="方正仿宋简体"/>
                <w:bCs/>
                <w:kern w:val="0"/>
                <w:sz w:val="21"/>
                <w:szCs w:val="21"/>
              </w:rPr>
              <w:t>送</w:t>
            </w:r>
            <w:r>
              <w:rPr>
                <w:rFonts w:eastAsia="方正仿宋简体"/>
                <w:b/>
                <w:kern w:val="0"/>
                <w:sz w:val="21"/>
                <w:szCs w:val="21"/>
              </w:rPr>
              <w:t>配送中心</w:t>
            </w: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城南物流配送中心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与报村客运站共享场地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700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为中心城区提供零售商品、生活消费品物流服务，为报平综合市场等提供物流配送服务。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1"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雅韶物流配送中心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与雅韶客运站共享场地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700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结合位于高速公路出入口区位条件，重点发展雅韶肉类冷链物流基地；同时为雅韶片区提供生产、生活物资的配送服务。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红丰物流配送中心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与红丰客运站共享场地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结合位于高速公路出入口区位条件，重点发展以建材、工业原材料、农产品展销为主的现代物流基地；同时为红丰片区提供生产、生活物资的配送服务。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新洲物流配送中心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与新洲客运站共享场地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700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结合位于高速公路出入口区位条件，重点发展以传统种植业及咸淡水养殖业为主的物流基地；同时为新洲片区提供生产、生活物资的配送服务。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9"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大沟物流配送中心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与大沟客运站共享场地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结合位于高速公路出入口区位条件，重点发展临港海洋渔业、水产养殖业冷链物流基地；同时为大沟片区提供生产、生活物资的配送服务。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塘坪物流配送中心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与塘坪客运站共享场地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随着未来规划的高明至阳东高速公路建成通车，塘坪物流中心区位优势进一步增强，重点发展木器加工业物流基地；同时为塘坪片区提供生产、生活物资的配送服务。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544" w:type="dxa"/>
            <w:vMerge w:val="continue"/>
            <w:vAlign w:val="center"/>
          </w:tcPr>
          <w:p>
            <w:pPr>
              <w:adjustRightInd w:val="0"/>
              <w:snapToGrid w:val="0"/>
              <w:spacing w:line="300" w:lineRule="exact"/>
              <w:ind w:firstLine="42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大八物流配送中心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与大八客运站共享场地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为大八等阳东北部片区提供生产、生活物资的配送服务。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544" w:type="dxa"/>
            <w:vMerge w:val="continue"/>
            <w:vAlign w:val="center"/>
          </w:tcPr>
          <w:p>
            <w:pPr>
              <w:adjustRightInd w:val="0"/>
              <w:snapToGrid w:val="0"/>
              <w:spacing w:line="300" w:lineRule="exact"/>
              <w:ind w:firstLine="0" w:firstLineChars="0"/>
              <w:jc w:val="center"/>
              <w:rPr>
                <w:rFonts w:eastAsia="方正仿宋简体"/>
                <w:bCs/>
                <w:kern w:val="0"/>
                <w:sz w:val="21"/>
                <w:szCs w:val="21"/>
              </w:rPr>
            </w:pPr>
          </w:p>
        </w:tc>
        <w:tc>
          <w:tcPr>
            <w:tcW w:w="128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那龙物流配送中心</w:t>
            </w:r>
          </w:p>
        </w:tc>
        <w:tc>
          <w:tcPr>
            <w:tcW w:w="1409"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与那龙客运站共享场地</w:t>
            </w:r>
          </w:p>
        </w:tc>
        <w:tc>
          <w:tcPr>
            <w:tcW w:w="1275"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200</w:t>
            </w:r>
          </w:p>
        </w:tc>
        <w:tc>
          <w:tcPr>
            <w:tcW w:w="5103" w:type="dxa"/>
            <w:vAlign w:val="center"/>
          </w:tcPr>
          <w:p>
            <w:pPr>
              <w:adjustRightInd w:val="0"/>
              <w:snapToGrid w:val="0"/>
              <w:spacing w:line="300" w:lineRule="exact"/>
              <w:ind w:firstLine="0" w:firstLineChars="0"/>
              <w:jc w:val="both"/>
              <w:rPr>
                <w:rFonts w:eastAsia="方正仿宋简体"/>
                <w:bCs/>
                <w:kern w:val="0"/>
                <w:sz w:val="21"/>
                <w:szCs w:val="21"/>
              </w:rPr>
            </w:pPr>
            <w:r>
              <w:rPr>
                <w:rFonts w:eastAsia="方正仿宋简体"/>
                <w:bCs/>
                <w:kern w:val="0"/>
                <w:sz w:val="21"/>
                <w:szCs w:val="21"/>
              </w:rPr>
              <w:t>为那龙等阳东东部片区提供生产、生活物资的配送服务。</w:t>
            </w:r>
          </w:p>
        </w:tc>
        <w:tc>
          <w:tcPr>
            <w:tcW w:w="993" w:type="dxa"/>
            <w:vAlign w:val="center"/>
          </w:tcPr>
          <w:p>
            <w:pPr>
              <w:adjustRightInd w:val="0"/>
              <w:snapToGrid w:val="0"/>
              <w:spacing w:line="300" w:lineRule="exact"/>
              <w:ind w:firstLine="0" w:firstLineChars="0"/>
              <w:jc w:val="center"/>
              <w:rPr>
                <w:rFonts w:eastAsia="方正仿宋简体"/>
                <w:bCs/>
                <w:kern w:val="0"/>
                <w:sz w:val="21"/>
                <w:szCs w:val="21"/>
              </w:rPr>
            </w:pPr>
            <w:r>
              <w:rPr>
                <w:rFonts w:eastAsia="方正仿宋简体"/>
                <w:bCs/>
                <w:kern w:val="0"/>
                <w:sz w:val="21"/>
                <w:szCs w:val="21"/>
              </w:rPr>
              <w:t>公路</w:t>
            </w:r>
          </w:p>
        </w:tc>
      </w:tr>
    </w:tbl>
    <w:p>
      <w:pPr>
        <w:pStyle w:val="90"/>
        <w:sectPr>
          <w:pgSz w:w="11906" w:h="16838"/>
          <w:pgMar w:top="1440" w:right="1800" w:bottom="1440" w:left="1800" w:header="851" w:footer="992" w:gutter="0"/>
          <w:cols w:space="425" w:num="1"/>
          <w:docGrid w:type="lines" w:linePitch="381" w:charSpace="0"/>
        </w:sectPr>
      </w:pPr>
    </w:p>
    <w:p>
      <w:pPr>
        <w:pStyle w:val="2"/>
        <w:keepNext w:val="0"/>
        <w:keepLines w:val="0"/>
        <w:spacing w:line="570" w:lineRule="exact"/>
        <w:textAlignment w:val="auto"/>
        <w:rPr>
          <w:rFonts w:hAnsi="黑体"/>
          <w:b w:val="0"/>
          <w:sz w:val="32"/>
          <w:szCs w:val="32"/>
        </w:rPr>
      </w:pPr>
      <w:bookmarkStart w:id="120" w:name="_Toc117693227"/>
      <w:bookmarkStart w:id="121" w:name="_Toc109811270"/>
      <w:bookmarkStart w:id="122" w:name="_Toc112854906"/>
      <w:r>
        <w:rPr>
          <w:rFonts w:hint="eastAsia" w:ascii="Times New Roman" w:hAnsi="Times New Roman" w:eastAsia="方正小标宋简体"/>
          <w:b w:val="0"/>
          <w:sz w:val="32"/>
          <w:szCs w:val="32"/>
        </w:rPr>
        <w:t>附表十</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阳东区高速公路网用地红线占用国土空间情况一览表</w:t>
      </w:r>
      <w:bookmarkEnd w:id="120"/>
      <w:bookmarkEnd w:id="121"/>
      <w:bookmarkEnd w:id="122"/>
    </w:p>
    <w:tbl>
      <w:tblPr>
        <w:tblStyle w:val="67"/>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69"/>
        <w:gridCol w:w="2729"/>
        <w:gridCol w:w="862"/>
        <w:gridCol w:w="862"/>
        <w:gridCol w:w="865"/>
        <w:gridCol w:w="865"/>
        <w:gridCol w:w="1009"/>
        <w:gridCol w:w="879"/>
        <w:gridCol w:w="865"/>
        <w:gridCol w:w="1012"/>
        <w:gridCol w:w="1154"/>
        <w:gridCol w:w="1151"/>
        <w:gridCol w:w="10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07" w:type="pct"/>
            <w:vMerge w:val="restar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布局</w:t>
            </w:r>
          </w:p>
        </w:tc>
        <w:tc>
          <w:tcPr>
            <w:tcW w:w="963" w:type="pct"/>
            <w:vMerge w:val="restar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高速公路名称</w:t>
            </w:r>
          </w:p>
        </w:tc>
        <w:tc>
          <w:tcPr>
            <w:tcW w:w="1218" w:type="pct"/>
            <w:gridSpan w:val="4"/>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生态保护红线面积（公顷）</w:t>
            </w:r>
          </w:p>
        </w:tc>
        <w:tc>
          <w:tcPr>
            <w:tcW w:w="1328" w:type="pct"/>
            <w:gridSpan w:val="4"/>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永久基本农田面积（公顷）</w:t>
            </w:r>
          </w:p>
        </w:tc>
        <w:tc>
          <w:tcPr>
            <w:tcW w:w="1184" w:type="pct"/>
            <w:gridSpan w:val="3"/>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城镇开发边界面积（公顷）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07" w:type="pct"/>
            <w:vMerge w:val="continue"/>
            <w:shd w:val="clear" w:color="auto" w:fill="auto"/>
            <w:vAlign w:val="center"/>
          </w:tcPr>
          <w:p>
            <w:pPr>
              <w:adjustRightInd w:val="0"/>
              <w:snapToGrid w:val="0"/>
              <w:spacing w:line="360" w:lineRule="exact"/>
              <w:ind w:firstLine="0" w:firstLineChars="0"/>
              <w:jc w:val="center"/>
              <w:rPr>
                <w:rFonts w:ascii="仿宋_GB2312" w:hAnsi="等线" w:eastAsia="黑体"/>
              </w:rPr>
            </w:pPr>
          </w:p>
        </w:tc>
        <w:tc>
          <w:tcPr>
            <w:tcW w:w="963" w:type="pct"/>
            <w:vMerge w:val="continue"/>
            <w:shd w:val="clear" w:color="auto" w:fill="auto"/>
            <w:vAlign w:val="center"/>
          </w:tcPr>
          <w:p>
            <w:pPr>
              <w:adjustRightInd w:val="0"/>
              <w:snapToGrid w:val="0"/>
              <w:spacing w:line="360" w:lineRule="exact"/>
              <w:ind w:firstLine="0" w:firstLineChars="0"/>
              <w:jc w:val="center"/>
              <w:rPr>
                <w:rFonts w:ascii="仿宋_GB2312" w:hAnsi="等线" w:eastAsia="黑体"/>
              </w:rPr>
            </w:pPr>
          </w:p>
        </w:tc>
        <w:tc>
          <w:tcPr>
            <w:tcW w:w="304"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水源</w:t>
            </w:r>
          </w:p>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涵养</w:t>
            </w:r>
          </w:p>
        </w:tc>
        <w:tc>
          <w:tcPr>
            <w:tcW w:w="304"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水土</w:t>
            </w:r>
          </w:p>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保持</w:t>
            </w:r>
          </w:p>
        </w:tc>
        <w:tc>
          <w:tcPr>
            <w:tcW w:w="305"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红树林</w:t>
            </w:r>
          </w:p>
        </w:tc>
        <w:tc>
          <w:tcPr>
            <w:tcW w:w="305"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合计</w:t>
            </w:r>
          </w:p>
        </w:tc>
        <w:tc>
          <w:tcPr>
            <w:tcW w:w="356"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水田</w:t>
            </w:r>
          </w:p>
        </w:tc>
        <w:tc>
          <w:tcPr>
            <w:tcW w:w="310"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水浇地</w:t>
            </w:r>
          </w:p>
        </w:tc>
        <w:tc>
          <w:tcPr>
            <w:tcW w:w="305"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旱地</w:t>
            </w:r>
          </w:p>
        </w:tc>
        <w:tc>
          <w:tcPr>
            <w:tcW w:w="357"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合计</w:t>
            </w:r>
          </w:p>
        </w:tc>
        <w:tc>
          <w:tcPr>
            <w:tcW w:w="407"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城镇集中建设区</w:t>
            </w:r>
          </w:p>
        </w:tc>
        <w:tc>
          <w:tcPr>
            <w:tcW w:w="406"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城镇弹性发展区</w:t>
            </w:r>
          </w:p>
        </w:tc>
        <w:tc>
          <w:tcPr>
            <w:tcW w:w="371" w:type="pct"/>
            <w:shd w:val="clear" w:color="auto" w:fill="auto"/>
            <w:vAlign w:val="center"/>
          </w:tcPr>
          <w:p>
            <w:pPr>
              <w:adjustRightInd w:val="0"/>
              <w:snapToGrid w:val="0"/>
              <w:spacing w:line="360" w:lineRule="exact"/>
              <w:ind w:firstLine="0" w:firstLineChars="0"/>
              <w:jc w:val="center"/>
              <w:rPr>
                <w:rFonts w:ascii="仿宋_GB2312" w:hAnsi="等线" w:eastAsia="黑体"/>
              </w:rPr>
            </w:pPr>
            <w:r>
              <w:rPr>
                <w:rFonts w:hint="eastAsia" w:ascii="仿宋_GB2312" w:hAnsi="等线" w:eastAsia="黑体"/>
                <w:sz w:val="21"/>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纵一</w:t>
            </w:r>
          </w:p>
        </w:tc>
        <w:tc>
          <w:tcPr>
            <w:tcW w:w="963"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阳阳高速公路</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5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6.30</w:t>
            </w:r>
          </w:p>
        </w:tc>
        <w:tc>
          <w:tcPr>
            <w:tcW w:w="310"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0.50</w:t>
            </w:r>
          </w:p>
        </w:tc>
        <w:tc>
          <w:tcPr>
            <w:tcW w:w="35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6.80 </w:t>
            </w:r>
          </w:p>
        </w:tc>
        <w:tc>
          <w:tcPr>
            <w:tcW w:w="4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40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71"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0.00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纵二</w:t>
            </w:r>
          </w:p>
        </w:tc>
        <w:tc>
          <w:tcPr>
            <w:tcW w:w="963"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西部沿海高速公路（支线）、高明至阳东高速公路</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36.04</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36.04</w:t>
            </w:r>
          </w:p>
        </w:tc>
        <w:tc>
          <w:tcPr>
            <w:tcW w:w="35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27.20</w:t>
            </w:r>
          </w:p>
        </w:tc>
        <w:tc>
          <w:tcPr>
            <w:tcW w:w="310"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0.97</w:t>
            </w:r>
          </w:p>
        </w:tc>
        <w:tc>
          <w:tcPr>
            <w:tcW w:w="35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28.17 </w:t>
            </w:r>
          </w:p>
        </w:tc>
        <w:tc>
          <w:tcPr>
            <w:tcW w:w="4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14.98</w:t>
            </w:r>
          </w:p>
        </w:tc>
        <w:tc>
          <w:tcPr>
            <w:tcW w:w="40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7.42</w:t>
            </w:r>
          </w:p>
        </w:tc>
        <w:tc>
          <w:tcPr>
            <w:tcW w:w="371"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22.40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纵三</w:t>
            </w:r>
          </w:p>
        </w:tc>
        <w:tc>
          <w:tcPr>
            <w:tcW w:w="963"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沈海高速公路阳东支线</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25.76</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25.76</w:t>
            </w:r>
          </w:p>
        </w:tc>
        <w:tc>
          <w:tcPr>
            <w:tcW w:w="35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27.73</w:t>
            </w:r>
          </w:p>
        </w:tc>
        <w:tc>
          <w:tcPr>
            <w:tcW w:w="310"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0.02</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1.66</w:t>
            </w:r>
          </w:p>
        </w:tc>
        <w:tc>
          <w:tcPr>
            <w:tcW w:w="35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29.42 </w:t>
            </w:r>
          </w:p>
        </w:tc>
        <w:tc>
          <w:tcPr>
            <w:tcW w:w="4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1.32</w:t>
            </w:r>
          </w:p>
        </w:tc>
        <w:tc>
          <w:tcPr>
            <w:tcW w:w="40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7.08</w:t>
            </w:r>
          </w:p>
        </w:tc>
        <w:tc>
          <w:tcPr>
            <w:tcW w:w="371"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8.40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横一</w:t>
            </w:r>
          </w:p>
        </w:tc>
        <w:tc>
          <w:tcPr>
            <w:tcW w:w="963"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珠海至阳江高速公路</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2.38</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2.38</w:t>
            </w:r>
          </w:p>
        </w:tc>
        <w:tc>
          <w:tcPr>
            <w:tcW w:w="35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45.90</w:t>
            </w:r>
          </w:p>
        </w:tc>
        <w:tc>
          <w:tcPr>
            <w:tcW w:w="310"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0.49</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6.06</w:t>
            </w:r>
          </w:p>
        </w:tc>
        <w:tc>
          <w:tcPr>
            <w:tcW w:w="35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52.46 </w:t>
            </w:r>
          </w:p>
        </w:tc>
        <w:tc>
          <w:tcPr>
            <w:tcW w:w="4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1.57</w:t>
            </w:r>
          </w:p>
        </w:tc>
        <w:tc>
          <w:tcPr>
            <w:tcW w:w="40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71"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1.57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横二</w:t>
            </w:r>
          </w:p>
        </w:tc>
        <w:tc>
          <w:tcPr>
            <w:tcW w:w="963"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沈海高速公路</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5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14.91</w:t>
            </w:r>
          </w:p>
        </w:tc>
        <w:tc>
          <w:tcPr>
            <w:tcW w:w="310"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2.11</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4.30</w:t>
            </w:r>
          </w:p>
        </w:tc>
        <w:tc>
          <w:tcPr>
            <w:tcW w:w="35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21.32 </w:t>
            </w:r>
          </w:p>
        </w:tc>
        <w:tc>
          <w:tcPr>
            <w:tcW w:w="4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58.71</w:t>
            </w:r>
          </w:p>
        </w:tc>
        <w:tc>
          <w:tcPr>
            <w:tcW w:w="40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17.91</w:t>
            </w:r>
          </w:p>
        </w:tc>
        <w:tc>
          <w:tcPr>
            <w:tcW w:w="371"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76.62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横三</w:t>
            </w:r>
          </w:p>
        </w:tc>
        <w:tc>
          <w:tcPr>
            <w:tcW w:w="963"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西部沿海高速公路（主线）、西部沿海高速公路阳江南联络线</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4"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0.00</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2.02</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2.02</w:t>
            </w:r>
          </w:p>
        </w:tc>
        <w:tc>
          <w:tcPr>
            <w:tcW w:w="35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29.62</w:t>
            </w:r>
          </w:p>
        </w:tc>
        <w:tc>
          <w:tcPr>
            <w:tcW w:w="310"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1.45</w:t>
            </w:r>
          </w:p>
        </w:tc>
        <w:tc>
          <w:tcPr>
            <w:tcW w:w="305"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2.20</w:t>
            </w:r>
          </w:p>
        </w:tc>
        <w:tc>
          <w:tcPr>
            <w:tcW w:w="35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33.26 </w:t>
            </w:r>
          </w:p>
        </w:tc>
        <w:tc>
          <w:tcPr>
            <w:tcW w:w="407"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5.48</w:t>
            </w:r>
          </w:p>
        </w:tc>
        <w:tc>
          <w:tcPr>
            <w:tcW w:w="406"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6.92</w:t>
            </w:r>
          </w:p>
        </w:tc>
        <w:tc>
          <w:tcPr>
            <w:tcW w:w="371" w:type="pct"/>
            <w:shd w:val="clear" w:color="auto" w:fill="auto"/>
            <w:vAlign w:val="center"/>
          </w:tcPr>
          <w:p>
            <w:pPr>
              <w:adjustRightInd w:val="0"/>
              <w:snapToGrid w:val="0"/>
              <w:spacing w:line="360" w:lineRule="exact"/>
              <w:ind w:firstLine="0" w:firstLineChars="0"/>
              <w:jc w:val="center"/>
              <w:rPr>
                <w:rFonts w:eastAsia="方正仿宋简体"/>
              </w:rPr>
            </w:pPr>
            <w:r>
              <w:rPr>
                <w:rFonts w:eastAsia="方正仿宋简体"/>
                <w:sz w:val="21"/>
                <w:szCs w:val="21"/>
              </w:rPr>
              <w:t xml:space="preserve">12.39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69" w:type="pct"/>
            <w:gridSpan w:val="2"/>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合计</w:t>
            </w:r>
          </w:p>
        </w:tc>
        <w:tc>
          <w:tcPr>
            <w:tcW w:w="304"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38.42</w:t>
            </w:r>
          </w:p>
        </w:tc>
        <w:tc>
          <w:tcPr>
            <w:tcW w:w="304"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25.76</w:t>
            </w:r>
          </w:p>
        </w:tc>
        <w:tc>
          <w:tcPr>
            <w:tcW w:w="305"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2.02</w:t>
            </w:r>
          </w:p>
        </w:tc>
        <w:tc>
          <w:tcPr>
            <w:tcW w:w="305"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66.19</w:t>
            </w:r>
          </w:p>
        </w:tc>
        <w:tc>
          <w:tcPr>
            <w:tcW w:w="356"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151.66</w:t>
            </w:r>
          </w:p>
        </w:tc>
        <w:tc>
          <w:tcPr>
            <w:tcW w:w="310"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4.07</w:t>
            </w:r>
          </w:p>
        </w:tc>
        <w:tc>
          <w:tcPr>
            <w:tcW w:w="305"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15.69</w:t>
            </w:r>
          </w:p>
        </w:tc>
        <w:tc>
          <w:tcPr>
            <w:tcW w:w="357"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171.43</w:t>
            </w:r>
          </w:p>
        </w:tc>
        <w:tc>
          <w:tcPr>
            <w:tcW w:w="407"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82.05</w:t>
            </w:r>
          </w:p>
        </w:tc>
        <w:tc>
          <w:tcPr>
            <w:tcW w:w="406"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39.32</w:t>
            </w:r>
          </w:p>
        </w:tc>
        <w:tc>
          <w:tcPr>
            <w:tcW w:w="371" w:type="pct"/>
            <w:shd w:val="clear" w:color="auto" w:fill="auto"/>
            <w:vAlign w:val="center"/>
          </w:tcPr>
          <w:p>
            <w:pPr>
              <w:adjustRightInd w:val="0"/>
              <w:snapToGrid w:val="0"/>
              <w:spacing w:line="360" w:lineRule="exact"/>
              <w:ind w:firstLine="0" w:firstLineChars="0"/>
              <w:jc w:val="center"/>
              <w:rPr>
                <w:rFonts w:eastAsia="方正仿宋简体"/>
                <w:b/>
              </w:rPr>
            </w:pPr>
            <w:r>
              <w:rPr>
                <w:rFonts w:eastAsia="方正仿宋简体"/>
                <w:b/>
                <w:sz w:val="21"/>
                <w:szCs w:val="21"/>
              </w:rPr>
              <w:t>121.38</w:t>
            </w:r>
          </w:p>
        </w:tc>
      </w:tr>
    </w:tbl>
    <w:p>
      <w:pPr>
        <w:spacing w:line="240" w:lineRule="auto"/>
        <w:ind w:firstLine="0" w:firstLineChars="0"/>
        <w:rPr>
          <w:rFonts w:eastAsia="方正小标宋简体"/>
          <w:kern w:val="44"/>
          <w:sz w:val="44"/>
        </w:rPr>
      </w:pPr>
      <w:bookmarkStart w:id="123" w:name="_Toc109811271"/>
      <w:bookmarkStart w:id="124" w:name="_Toc117693228"/>
      <w:bookmarkStart w:id="125" w:name="_Toc112854907"/>
      <w:r>
        <w:rPr>
          <w:rFonts w:eastAsia="方正小标宋简体"/>
          <w:b/>
          <w:sz w:val="44"/>
        </w:rPr>
        <w:br w:type="page"/>
      </w:r>
    </w:p>
    <w:p>
      <w:pPr>
        <w:pStyle w:val="2"/>
        <w:keepNext w:val="0"/>
        <w:keepLines w:val="0"/>
        <w:spacing w:line="570" w:lineRule="exact"/>
        <w:textAlignment w:val="auto"/>
        <w:rPr>
          <w:rFonts w:hAnsi="黑体"/>
          <w:b w:val="0"/>
          <w:sz w:val="32"/>
          <w:szCs w:val="32"/>
        </w:rPr>
      </w:pPr>
      <w:r>
        <w:rPr>
          <w:rFonts w:hint="eastAsia" w:ascii="Times New Roman" w:hAnsi="Times New Roman" w:eastAsia="方正小标宋简体"/>
          <w:b w:val="0"/>
          <w:sz w:val="32"/>
          <w:szCs w:val="32"/>
        </w:rPr>
        <w:t xml:space="preserve">附表十一 </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阳东区干线公路网用地红线占用国土空间情况一览表</w:t>
      </w:r>
      <w:bookmarkEnd w:id="123"/>
      <w:bookmarkEnd w:id="124"/>
      <w:bookmarkEnd w:id="125"/>
    </w:p>
    <w:tbl>
      <w:tblPr>
        <w:tblStyle w:val="67"/>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3"/>
        <w:gridCol w:w="3036"/>
        <w:gridCol w:w="828"/>
        <w:gridCol w:w="828"/>
        <w:gridCol w:w="828"/>
        <w:gridCol w:w="828"/>
        <w:gridCol w:w="975"/>
        <w:gridCol w:w="975"/>
        <w:gridCol w:w="975"/>
        <w:gridCol w:w="975"/>
        <w:gridCol w:w="1154"/>
        <w:gridCol w:w="1154"/>
        <w:gridCol w:w="10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99" w:type="pct"/>
            <w:vMerge w:val="restar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布局</w:t>
            </w:r>
          </w:p>
        </w:tc>
        <w:tc>
          <w:tcPr>
            <w:tcW w:w="1071" w:type="pct"/>
            <w:vMerge w:val="restar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干线公路名称</w:t>
            </w:r>
          </w:p>
        </w:tc>
        <w:tc>
          <w:tcPr>
            <w:tcW w:w="1168" w:type="pct"/>
            <w:gridSpan w:val="4"/>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生态保护红线面积（公顷）</w:t>
            </w:r>
          </w:p>
        </w:tc>
        <w:tc>
          <w:tcPr>
            <w:tcW w:w="1376" w:type="pct"/>
            <w:gridSpan w:val="4"/>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永久基本农田面积（公顷）</w:t>
            </w:r>
          </w:p>
        </w:tc>
        <w:tc>
          <w:tcPr>
            <w:tcW w:w="1186" w:type="pct"/>
            <w:gridSpan w:val="3"/>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城镇开发边界面积（公顷）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99" w:type="pct"/>
            <w:vMerge w:val="continue"/>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p>
        </w:tc>
        <w:tc>
          <w:tcPr>
            <w:tcW w:w="1071" w:type="pct"/>
            <w:vMerge w:val="continue"/>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p>
        </w:tc>
        <w:tc>
          <w:tcPr>
            <w:tcW w:w="292"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水源</w:t>
            </w:r>
          </w:p>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涵养</w:t>
            </w:r>
          </w:p>
        </w:tc>
        <w:tc>
          <w:tcPr>
            <w:tcW w:w="292"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水土</w:t>
            </w:r>
          </w:p>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保持</w:t>
            </w:r>
          </w:p>
        </w:tc>
        <w:tc>
          <w:tcPr>
            <w:tcW w:w="292"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红树林</w:t>
            </w:r>
          </w:p>
        </w:tc>
        <w:tc>
          <w:tcPr>
            <w:tcW w:w="292"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合计</w:t>
            </w:r>
          </w:p>
        </w:tc>
        <w:tc>
          <w:tcPr>
            <w:tcW w:w="344"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水田</w:t>
            </w:r>
          </w:p>
        </w:tc>
        <w:tc>
          <w:tcPr>
            <w:tcW w:w="344"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水浇地</w:t>
            </w:r>
          </w:p>
        </w:tc>
        <w:tc>
          <w:tcPr>
            <w:tcW w:w="344"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旱地</w:t>
            </w:r>
          </w:p>
        </w:tc>
        <w:tc>
          <w:tcPr>
            <w:tcW w:w="344"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合计</w:t>
            </w:r>
          </w:p>
        </w:tc>
        <w:tc>
          <w:tcPr>
            <w:tcW w:w="407"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城镇集中建设区</w:t>
            </w:r>
          </w:p>
        </w:tc>
        <w:tc>
          <w:tcPr>
            <w:tcW w:w="407"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城镇弹性发展区</w:t>
            </w:r>
          </w:p>
        </w:tc>
        <w:tc>
          <w:tcPr>
            <w:tcW w:w="372" w:type="pct"/>
            <w:shd w:val="clear" w:color="auto" w:fill="auto"/>
            <w:vAlign w:val="center"/>
          </w:tcPr>
          <w:p>
            <w:pPr>
              <w:adjustRightInd w:val="0"/>
              <w:snapToGrid w:val="0"/>
              <w:spacing w:line="360" w:lineRule="exact"/>
              <w:ind w:firstLine="0" w:firstLineChars="0"/>
              <w:jc w:val="center"/>
              <w:rPr>
                <w:rFonts w:ascii="仿宋_GB2312" w:hAnsi="等线" w:eastAsia="黑体"/>
                <w:sz w:val="21"/>
                <w:szCs w:val="21"/>
              </w:rPr>
            </w:pPr>
            <w:r>
              <w:rPr>
                <w:rFonts w:hint="eastAsia" w:ascii="仿宋_GB2312" w:hAnsi="等线" w:eastAsia="黑体"/>
                <w:sz w:val="21"/>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Z1</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江城至阳春</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3.38</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0.23</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3.61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Z2</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新垌至雅韶</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0.90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0.90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24.70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0.15</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25.35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31.52</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6.54</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38.07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Z3</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大八至雅韶</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0.33</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0.33</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26.25</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0.05</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1.03</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27.33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8.32</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1.91</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10.24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Z4</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恩平那吉至东平</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3.52</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1.80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5.31</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11.77</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0.06</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1.81</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13.64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7.07</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6.99</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14.06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Z5</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那龙至东平</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19.02</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19.02</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10.21</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0.03</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0.54</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10.78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12.02</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1.60</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13.61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H1</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阳春岗美至那龙</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16.11</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2.16</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18.47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0.38</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0.27</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0.65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H2</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地朗至那龙</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50.82</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0.81</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7.40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59.03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2.18</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17.35</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19.54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H3</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阳江市区至恩平大槐（市界）</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3.46</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0.38</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0.92</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4.75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76.57</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27.01</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103.59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H4</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东城至那龙镇（市界）</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7.67</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7.67</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19.77</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0.28</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1.06</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21.10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18.53</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4.31</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22.84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H5</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江城至新洲北桂</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0.03</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0.03</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10.40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0.05</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1.75</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12.21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10.30</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0.74</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11.05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H6</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雅韶至新洲</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1.98</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0.40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2.38</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4.54</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0.18</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0.95</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5.66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27.64</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24.73</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52.36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H7</w:t>
            </w:r>
          </w:p>
        </w:tc>
        <w:tc>
          <w:tcPr>
            <w:tcW w:w="107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广东滨海旅游公路阳东段</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4.87</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29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4.87</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4.68</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0.00</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0.71</w:t>
            </w:r>
          </w:p>
        </w:tc>
        <w:tc>
          <w:tcPr>
            <w:tcW w:w="344"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5.39 </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29.59</w:t>
            </w:r>
          </w:p>
        </w:tc>
        <w:tc>
          <w:tcPr>
            <w:tcW w:w="40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13.62</w:t>
            </w:r>
          </w:p>
        </w:tc>
        <w:tc>
          <w:tcPr>
            <w:tcW w:w="372"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43.21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0" w:type="pct"/>
            <w:gridSpan w:val="2"/>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合计</w:t>
            </w:r>
          </w:p>
        </w:tc>
        <w:tc>
          <w:tcPr>
            <w:tcW w:w="292"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4.42</w:t>
            </w:r>
          </w:p>
        </w:tc>
        <w:tc>
          <w:tcPr>
            <w:tcW w:w="292"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35.70</w:t>
            </w:r>
          </w:p>
        </w:tc>
        <w:tc>
          <w:tcPr>
            <w:tcW w:w="292"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0.40</w:t>
            </w:r>
          </w:p>
        </w:tc>
        <w:tc>
          <w:tcPr>
            <w:tcW w:w="292"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40.52</w:t>
            </w:r>
          </w:p>
        </w:tc>
        <w:tc>
          <w:tcPr>
            <w:tcW w:w="344"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186.09</w:t>
            </w:r>
          </w:p>
        </w:tc>
        <w:tc>
          <w:tcPr>
            <w:tcW w:w="344"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2.54</w:t>
            </w:r>
          </w:p>
        </w:tc>
        <w:tc>
          <w:tcPr>
            <w:tcW w:w="344"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18.69</w:t>
            </w:r>
          </w:p>
        </w:tc>
        <w:tc>
          <w:tcPr>
            <w:tcW w:w="344"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207.32</w:t>
            </w:r>
          </w:p>
        </w:tc>
        <w:tc>
          <w:tcPr>
            <w:tcW w:w="407"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224.14</w:t>
            </w:r>
          </w:p>
        </w:tc>
        <w:tc>
          <w:tcPr>
            <w:tcW w:w="407"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105.07</w:t>
            </w:r>
          </w:p>
        </w:tc>
        <w:tc>
          <w:tcPr>
            <w:tcW w:w="372"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329.20</w:t>
            </w:r>
          </w:p>
        </w:tc>
      </w:tr>
    </w:tbl>
    <w:p>
      <w:pPr>
        <w:pStyle w:val="2"/>
        <w:keepNext w:val="0"/>
        <w:keepLines w:val="0"/>
        <w:spacing w:line="570" w:lineRule="exact"/>
        <w:textAlignment w:val="auto"/>
        <w:rPr>
          <w:rFonts w:hAnsi="黑体"/>
          <w:b w:val="0"/>
          <w:sz w:val="32"/>
          <w:szCs w:val="32"/>
        </w:rPr>
      </w:pPr>
      <w:bookmarkStart w:id="126" w:name="_Toc109811272"/>
      <w:bookmarkStart w:id="127" w:name="_Toc117693229"/>
      <w:bookmarkStart w:id="128" w:name="_Toc112854908"/>
      <w:r>
        <w:rPr>
          <w:rFonts w:hint="eastAsia" w:ascii="Times New Roman" w:hAnsi="Times New Roman" w:eastAsia="方正小标宋简体"/>
          <w:b w:val="0"/>
          <w:sz w:val="32"/>
          <w:szCs w:val="32"/>
        </w:rPr>
        <w:t>附表十二</w:t>
      </w:r>
      <w:r>
        <w:rPr>
          <w:rFonts w:ascii="Times New Roman" w:hAnsi="Times New Roman" w:eastAsia="方正小标宋简体"/>
          <w:b w:val="0"/>
          <w:sz w:val="32"/>
          <w:szCs w:val="32"/>
        </w:rPr>
        <w:t xml:space="preserve">  </w:t>
      </w:r>
      <w:r>
        <w:rPr>
          <w:rFonts w:hint="eastAsia" w:ascii="Times New Roman" w:hAnsi="Times New Roman" w:eastAsia="方正小标宋简体"/>
          <w:b w:val="0"/>
          <w:sz w:val="32"/>
          <w:szCs w:val="32"/>
        </w:rPr>
        <w:t>阳东区重点交通建设项目一览表</w:t>
      </w:r>
      <w:bookmarkEnd w:id="126"/>
      <w:bookmarkEnd w:id="127"/>
      <w:bookmarkEnd w:id="128"/>
    </w:p>
    <w:tbl>
      <w:tblPr>
        <w:tblStyle w:val="67"/>
        <w:tblW w:w="5231"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92"/>
        <w:gridCol w:w="3203"/>
        <w:gridCol w:w="750"/>
        <w:gridCol w:w="3405"/>
        <w:gridCol w:w="1323"/>
        <w:gridCol w:w="1513"/>
        <w:gridCol w:w="1403"/>
        <w:gridCol w:w="1160"/>
        <w:gridCol w:w="14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00"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序号</w:t>
            </w:r>
          </w:p>
        </w:tc>
        <w:tc>
          <w:tcPr>
            <w:tcW w:w="1080"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项目名称</w:t>
            </w:r>
          </w:p>
        </w:tc>
        <w:tc>
          <w:tcPr>
            <w:tcW w:w="253"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建设</w:t>
            </w:r>
          </w:p>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性质</w:t>
            </w:r>
          </w:p>
        </w:tc>
        <w:tc>
          <w:tcPr>
            <w:tcW w:w="1147"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建设内容及规模</w:t>
            </w:r>
          </w:p>
        </w:tc>
        <w:tc>
          <w:tcPr>
            <w:tcW w:w="446"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总投资</w:t>
            </w:r>
          </w:p>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（亿元）</w:t>
            </w:r>
          </w:p>
        </w:tc>
        <w:tc>
          <w:tcPr>
            <w:tcW w:w="510"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“十四五”计划投资（亿元）</w:t>
            </w:r>
          </w:p>
        </w:tc>
        <w:tc>
          <w:tcPr>
            <w:tcW w:w="473"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用地规模</w:t>
            </w:r>
          </w:p>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（平方公里）</w:t>
            </w:r>
          </w:p>
        </w:tc>
        <w:tc>
          <w:tcPr>
            <w:tcW w:w="391"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建设时序</w:t>
            </w:r>
          </w:p>
        </w:tc>
        <w:tc>
          <w:tcPr>
            <w:tcW w:w="499" w:type="pct"/>
            <w:shd w:val="clear" w:color="auto" w:fill="auto"/>
            <w:vAlign w:val="center"/>
          </w:tcPr>
          <w:p>
            <w:pPr>
              <w:adjustRightInd w:val="0"/>
              <w:snapToGrid w:val="0"/>
              <w:spacing w:line="300" w:lineRule="exact"/>
              <w:ind w:firstLine="0" w:firstLineChars="0"/>
              <w:jc w:val="center"/>
              <w:rPr>
                <w:rFonts w:ascii="仿宋_GB2312" w:hAnsi="等线" w:eastAsia="黑体"/>
                <w:sz w:val="21"/>
                <w:szCs w:val="21"/>
              </w:rPr>
            </w:pPr>
            <w:r>
              <w:rPr>
                <w:rFonts w:hint="eastAsia" w:ascii="仿宋_GB2312" w:hAnsi="等线" w:eastAsia="黑体"/>
                <w:sz w:val="21"/>
                <w:szCs w:val="21"/>
              </w:rPr>
              <w:t>是否为“十四五”项目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合计</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822.95</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177.19</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28.55</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一、机场（2项）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1.26 </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1.26 </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合山通用机场二期</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原有机场跑道延长至1100米，跑道进行沥青混凝土盖被，建设平行滑行道、二期机库、站坪等工程</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1.26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1.26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2019-2023</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推进通用航空发展</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争取开通更多省内和省际航线，满足短途航空客运和货运需求。着力引进有实力的战略合作伙伴，发挥机场在航空培训、航空旅游、航空维护、通航运营、航测航拍、抢险救援等方面的功能作用，借助2500km</w:t>
            </w:r>
            <w:r>
              <w:rPr>
                <w:rFonts w:eastAsia="宋体"/>
                <w:sz w:val="21"/>
                <w:szCs w:val="21"/>
              </w:rPr>
              <w:t>²</w:t>
            </w:r>
            <w:r>
              <w:rPr>
                <w:rFonts w:eastAsia="方正仿宋简体"/>
                <w:sz w:val="21"/>
                <w:szCs w:val="21"/>
              </w:rPr>
              <w:t>的空域资源和周边土地，发展低空经济产业。</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二、轨道交通（4项）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231.00 </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54.00 </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4.38 </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广湛高铁阳东段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续建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全长约27.8公里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54.00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54.00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0.91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深珠江阳高铁（赣深高铁西延）</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谋划</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阳东段约53.3公里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90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1.74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阳茂湛滨海城际</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谋划</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阳东段约37公里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60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1.19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城市轨道2号线</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谋划</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阳东段约17公里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27.00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0.54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三、高速公路（6项）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249.20 </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3.55 </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4.88 </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西部沿海高速阳江南联络线</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阳东段约6.7公里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47.65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0.31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2023-2027</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深圳至南宁高速阳东段（伶仃洋通道西延线）</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阳东段约42公里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76.00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2.09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2025-2028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沈海高速阳东支线</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全长约37公里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62.00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0.82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高明至阳东高速公路</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谋划</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阳东段约35公里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60.00</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1.41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西部沿海高速公路新洲互通立交工程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建设匝道长1745米，桥梁长161米，收费站场（3进4出）互通立交</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1.70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1.70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2022-2024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西部沿海高速公路大沟互通立交工程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建设匝道长2000米，桥梁长200米，收费站场（3进4出）互通立交</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1.85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1.85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0.13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四、快速路（2项）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14.55</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1.25</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0.86</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阳东大道（国道G325线至雅白线）</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一级公路约15.6公里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10.90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0.62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2025-2027</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9"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新江台公路南延线工程（尖山大桥至雅白线段）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续建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一级公路约2.26公里，路基宽22.5米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1.25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0.07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2020-2022</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bookmarkStart w:id="129" w:name="_Hlk155604262"/>
            <w:r>
              <w:rPr>
                <w:rFonts w:eastAsia="方正仿宋简体"/>
                <w:sz w:val="21"/>
                <w:szCs w:val="21"/>
              </w:rPr>
              <w:t>新江台公路南延线工程（雅白线至滨海旅游公路段）</w:t>
            </w:r>
            <w:bookmarkEnd w:id="129"/>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一级公路约4公里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2.4</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0.17</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2026-2028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五、普通国道（8项）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68.54</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30.54</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4.78</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国道G325线阳江市江城坪郊至轮水段改建工程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续建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一级公路约24.848公里，路基宽24.5米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7.59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7.59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0.93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国道G325线那龙至东城（那霍）段改扩建工程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一级公路约28公里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15.00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2024-2028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国道G325线阳东区那龙至红丰北移改线工程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一级公路约34.9公里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26.00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2.03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2025-2028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国道G325线阳东那龙至江城西平路段路面改造工程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路面改造</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一级公路约37.2公里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2.43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2.43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0.74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2020-2022</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国道G228线阳江市良洞至雅韶段改建工程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一级公路约20.45公里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0.42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国道G228线阳东平堤鱼鳞石桥至核电圆盘段改扩建工程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一级公路4.425公里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2.2</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0.19</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国道G228线阳东区东平平堤至良洞段（国道G228线阳江核电圆盘至良洞段）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路面改造</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一级公路约20.4公里，二级公路约3.3公里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3.50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3.50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0.47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2024-2025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7" w:hRule="atLeast"/>
          <w:jc w:val="center"/>
        </w:trPr>
        <w:tc>
          <w:tcPr>
            <w:tcW w:w="2681" w:type="pct"/>
            <w:gridSpan w:val="4"/>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六、普通省道（17项）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bCs/>
                <w:sz w:val="21"/>
                <w:szCs w:val="21"/>
              </w:rPr>
            </w:pPr>
            <w:r>
              <w:rPr>
                <w:rFonts w:eastAsia="方正仿宋简体"/>
                <w:b/>
                <w:bCs/>
                <w:sz w:val="21"/>
                <w:szCs w:val="21"/>
              </w:rPr>
              <w:t>61.16</w:t>
            </w:r>
          </w:p>
        </w:tc>
        <w:tc>
          <w:tcPr>
            <w:tcW w:w="510" w:type="pct"/>
            <w:shd w:val="clear" w:color="auto" w:fill="auto"/>
            <w:vAlign w:val="center"/>
          </w:tcPr>
          <w:p>
            <w:pPr>
              <w:adjustRightInd w:val="0"/>
              <w:snapToGrid w:val="0"/>
              <w:spacing w:line="360" w:lineRule="exact"/>
              <w:ind w:firstLine="0" w:firstLineChars="0"/>
              <w:jc w:val="center"/>
              <w:rPr>
                <w:rFonts w:eastAsia="方正仿宋简体"/>
                <w:b/>
                <w:bCs/>
                <w:sz w:val="21"/>
                <w:szCs w:val="21"/>
              </w:rPr>
            </w:pPr>
            <w:r>
              <w:rPr>
                <w:rFonts w:eastAsia="方正仿宋简体"/>
                <w:b/>
                <w:bCs/>
                <w:sz w:val="21"/>
                <w:szCs w:val="21"/>
              </w:rPr>
              <w:t>30.79</w:t>
            </w:r>
          </w:p>
        </w:tc>
        <w:tc>
          <w:tcPr>
            <w:tcW w:w="473" w:type="pct"/>
            <w:shd w:val="clear" w:color="auto" w:fill="auto"/>
            <w:vAlign w:val="center"/>
          </w:tcPr>
          <w:p>
            <w:pPr>
              <w:adjustRightInd w:val="0"/>
              <w:snapToGrid w:val="0"/>
              <w:spacing w:line="360" w:lineRule="exact"/>
              <w:ind w:firstLine="0" w:firstLineChars="0"/>
              <w:jc w:val="center"/>
              <w:rPr>
                <w:rFonts w:eastAsia="方正仿宋简体"/>
                <w:b/>
                <w:bCs/>
                <w:sz w:val="21"/>
                <w:szCs w:val="21"/>
              </w:rPr>
            </w:pPr>
            <w:r>
              <w:rPr>
                <w:rFonts w:eastAsia="方正仿宋简体"/>
                <w:b/>
                <w:bCs/>
                <w:sz w:val="21"/>
                <w:szCs w:val="21"/>
              </w:rPr>
              <w:t>7.3</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省道S540线阳江雅韶至白沙段扩建（阳东段）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续建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一级公路约17.9公里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13.67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13.67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2019-2022</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省道S297线合山至大沟段改建工程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续建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新（改）建一级公路约13.68、二级公路约5.141公里，总里程18.821公里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3.50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3.5</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0.66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省道S276线东平良垌至大沟红旗段新建工程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一级公路约5.581公里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1.97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1.5</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0.22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2023-2026</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省道S276线大沟红旗至北惯彭村段改建工程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二级公路约23公里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2.50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0.53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2023-2026</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省道S297线田畔至合山段改建工程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二级公路约18公里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2.80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0.69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2028-2030</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省道S386线阳江市塘坪桥至岗美镇卫生院段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路面改造</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一级公路7约3.22公里，二级公路约17.11公里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0.36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0.36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1.78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2020-2021</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3"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省道S386线阳东大八至周亨段公路改建工程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二级公路约13.2公里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0.57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0.57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0.13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2020-2021</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省道S539线大八（阳春蟠龙交界）至塘坪段公路改建工程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二级公路约21.6公里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5.35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2023-2026</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12"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省道S386线那龙至长湖段公路改建工程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二级公路约10公里，路基宽12米，双向两车道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0.70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0.70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0.18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2021-2022</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省道S386线长湖至周亨段改建工程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二级公路约11.59公里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1.60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0.22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2026-2028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省道S276线红丰珍珠至广湛高铁阳江北站段公路</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一级公路约13公里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6.50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6.50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0.69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省道S541线阳东区温泉茶场至新洲段改建工程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二级公路约26.584公里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3.19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2.19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0.47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2024-2026</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省道S276线阳东支线新洲龙潭至阳江核电站公路</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二级公路约15公里，路基宽12米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6.30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0.29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2027-2029</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省道S276线新洲石岗至新洲旱地段改扩建工程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二级公路约6.84公里，双向两车道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1.50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0.15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省道S276线大沟红旗至雅韶笏朝段改线工程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二级公路25.71公里，双向两车道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2.85</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0.8</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0.45</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2025-2027</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省道S276线支线北惯大桥至阳东广雅路（华科国际）段公路</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一级公路约6.5公里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3.3</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473" w:type="pct"/>
            <w:shd w:val="clear" w:color="auto" w:fill="auto"/>
            <w:vAlign w:val="center"/>
          </w:tcPr>
          <w:p>
            <w:pPr>
              <w:spacing w:line="240" w:lineRule="auto"/>
              <w:ind w:firstLine="0" w:firstLineChars="0"/>
              <w:jc w:val="center"/>
              <w:rPr>
                <w:rFonts w:eastAsia="方正仿宋简体"/>
                <w:sz w:val="21"/>
                <w:szCs w:val="21"/>
              </w:rPr>
            </w:pPr>
            <w:r>
              <w:rPr>
                <w:rFonts w:eastAsia="方正仿宋简体"/>
                <w:sz w:val="21"/>
                <w:szCs w:val="21"/>
              </w:rPr>
              <w:t xml:space="preserve">0.27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2025-2027</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17</w:t>
            </w:r>
          </w:p>
        </w:tc>
        <w:tc>
          <w:tcPr>
            <w:tcW w:w="1080" w:type="pct"/>
            <w:shd w:val="clear" w:color="auto" w:fill="auto"/>
            <w:vAlign w:val="center"/>
          </w:tcPr>
          <w:p>
            <w:pPr>
              <w:spacing w:line="240" w:lineRule="auto"/>
              <w:ind w:firstLine="0" w:firstLineChars="0"/>
              <w:jc w:val="center"/>
              <w:rPr>
                <w:rFonts w:eastAsia="方正仿宋简体"/>
                <w:sz w:val="21"/>
                <w:szCs w:val="21"/>
              </w:rPr>
            </w:pPr>
            <w:r>
              <w:rPr>
                <w:rFonts w:eastAsia="方正仿宋简体"/>
                <w:sz w:val="21"/>
                <w:szCs w:val="21"/>
              </w:rPr>
              <w:t>省道S276线支线北惯大桥至深茂铁路阳东站段公路</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一级公路约8.3公里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4.5</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0.45</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2026-2028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七、县道及重要连接线（26项）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55.62</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13.36</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4.29</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阳东城区至沿海高速雅韶出口连接公路（二期）</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一级公路约5.397公里，路基宽41.5米，双向六车道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9.03</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9.03</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0.29</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阳东区那霍至英村公路建设工程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一级公路约8.5公里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0.43</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2026-2028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县道X819线沈海高速那龙出口至鸡山农场段联结工程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三级公路约6公里，路基宽7.5米，双向两车道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0.26</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0.26</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0.05</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2022-2024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县道X820线上六至河仔段联结工程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三级公路约8公里，路基宽7.5米，双向两车道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0.32</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0.06</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2022-2024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县道X598线三北公路至林屋段改建工程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二级公路约2.5公里，路基宽7.5米，双向两车道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0.17</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0.17</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0.05</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阳东区大八良爱至新垌（阳春交界）段改建工程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三级公路约12公里，路基宽7.5米，双向两车道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0.58</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0.58</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0.12</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2023-2024</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北津港片区综合开发建设配套交通基础设施项目</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包括阳东至北津港快速通道、进港公路及区内市政道路设施项目等。</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18.25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2022-2025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县道X592线湾口至罗田段改扩建工程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三级公路约14.74公里，双向两车道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0.73</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0.15</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县道X598线北惯林屋至北津港改扩建工程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二级公路约15.47公里，双向两车道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2.32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0.31</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县道X601线良爱至头堡段改扩建工程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三级公路约10公里，双向两车道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县道X602线红五月至麦垌段改扩建工程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三级公路约18.2公里，双向两车道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0.91</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0.18</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县道X606线麻汕至地朗段改扩建工程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三级公路约6.63公里，双向两车道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0.33</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0.07</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县道X819线新洲至龙潭段改扩建工程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二级公路约5.39公里，双向两车道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0.86</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0.13</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17</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县道X820新洲老村桥至上六改扩建工程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三级公路约4.41公里，双向两车道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0.04</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县道X821线沙帽至塘角段改扩建工程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三级公路约10.16公里，双向两车道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0.51</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县道X822线大八至两安改扩建工程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三级公路约21.75公里，双向两车道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1.09</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0.22</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县道X823线李琪路路口至周亨段改扩建工程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三级公路约10.42公里，双向两车道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县道X824线报平至台丹段改扩建工程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二级公路约11.24公里，双向两车道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1.69</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0.28</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县道X825线马岗至新洲段改扩建工程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三级公路约57.46公里，双向两车道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2.87</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0.57</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县道X826线那甲至那龙段改扩建工程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二级公路约7.35公里，双向两车道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1.1</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0.07</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县道X827线平田至新洲沸泉段改扩建工程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二级公路约5.15公里，双向两车道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0.77</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0.1</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县道X828线红丰塘围至大冈塘段改扩建工程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三级公路约21.52公里，双向两车道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1.08</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0.22</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县道X829线朋江至扶民段改扩建工程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三级公路约6.43公里，双向两车道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0.32</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0.06</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27</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县道X830线良爱至龙心段改扩建工程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三级公路约6.81公里，双向两车道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0.34</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0.07</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阳东区大八雷岗至北惯彭村段公路</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二级公路约12.09公里，双向两车道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1.81</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0.24</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阳东区东城始兴至北惯三宝垌段公路工程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二级公路约14.19公里，双向两车道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2.84</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0.28</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八、旅游公路（6项）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51.69</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13.9</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1.85</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广东滨海旅游公路阳江雅韶至山外东段公路工程（阳东段）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一级公路约10公里，路基宽40米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12.90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12.90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0.27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2021-2023</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广东滨海旅游公路阳江东平至雅韶段公路工程（阳东段）</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一级公路约37.6公里，路基宽35（26.5）米，双向六（四）车道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35.00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1.16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2025-2028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乡道Y508线白蒙至走马坪段改扩建工程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二级公路约7.09公里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1.77</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0.13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村道C345线历屯至山花改扩建工程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二级公路约3.10公里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0.47</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0.06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乡道Y411线寿长大道牌楼至寿长河新改建工程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二级公路约3.53公里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0.53</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0.11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乡道Y416线北环桥至小办村改扩建工程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二级公路约6.81公里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1.02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九、农村公路（10项）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19.22 </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 xml:space="preserve">19.22 </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县道网提档升级工程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约191公里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9.55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9.55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通建制村双车道公路建设工程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约150公里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2.25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2.25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衔接高速公路的农村公路四升三工程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约16公里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0.32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0.32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衔接普通国道的农村公路单改双工程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约115公里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1.73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1.73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衔接普通省道的农村公路单改双工程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约50公里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0.75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0.75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危桥改造</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63座</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1.22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1.22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安全生命防护工程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约500公里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农村公路大中修工程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约200公里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1.20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创建“四好农村路”示范县（区）项目</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0.30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2021-2023</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农村公路错车台和安全生命防护工程</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新开工</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约1500公里，每公里3道，共4500道</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0.90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0.90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2021-2025</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十、港口（5项）</w:t>
            </w:r>
          </w:p>
        </w:tc>
        <w:tc>
          <w:tcPr>
            <w:tcW w:w="446"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61.82</w:t>
            </w:r>
          </w:p>
        </w:tc>
        <w:tc>
          <w:tcPr>
            <w:tcW w:w="510"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 xml:space="preserve">8.32 </w:t>
            </w:r>
          </w:p>
        </w:tc>
        <w:tc>
          <w:tcPr>
            <w:tcW w:w="473"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bCs/>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6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51"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东平国家中心渔港改造升级</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西防波堤口门外新建设岛式防波堤约275米；旧西防波堤修复360米，东南防波堤加固315米；东南防波堤堤身东延新建防波堤200米；东南口门礁石位置向西南方向新建防波堤320米；在西防波堤、大葛洲、南防波堤、小葛洲及东南防波堤内侧利用港池疏浚弃土回填区域约20万平方米;新建系泊岸线约1550米；港池航道疏浚约100万立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2.32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2.32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2021-2023</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02"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北津港改造升级</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沿北津港南向岸线建设码头，一期建设50000吨风电</w:t>
            </w:r>
          </w:p>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运维码头(透水式) ,泊位2个，岸线长约275米，工程用地面积约150亩，投资估算约14亿元；二期建设10万吨通用泊位4个(透水式)，岸线长约390米,工程用地面积约300亩，投资估算约12.5亿元；北津港渔港改造工程,岸线长度约500米，工程用地面积225亩投资估算约3.0亿元，北津港上游游艇泊位，岸线长度约300米，工程用地面积约135亩投资估算约2.5亿元；航道疏浚等工程，远期可再规划建设1万吨通用泊位4个(透水式)。</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32.00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6.00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0.10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2023-2028</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阳东区沿海航道改造升级</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沿海航道共5条（其中北津航道共两段），里程约142.8公里，包括寿长航道、寿长东航道、东平航道、北漭航道。其中，重要航道共1条，约23.5公里；一般航道共5条，约119.3公里</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10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阳江港北津港区进港航道工程</w:t>
            </w:r>
          </w:p>
        </w:tc>
        <w:tc>
          <w:tcPr>
            <w:tcW w:w="253" w:type="pct"/>
            <w:shd w:val="clear" w:color="auto" w:fill="auto"/>
            <w:vAlign w:val="center"/>
          </w:tcPr>
          <w:p>
            <w:pPr>
              <w:spacing w:line="34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20公里</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15</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0</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用海368公顷</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2025-2035</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阳东区内河航道改造升级</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改扩建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内河航道共4条，包括漠阳江1、那龙河1、漠阳江西河2、那龙河2，里程约49公里。其中，重要航道共2条，约14公里；一般航道共2条，约35公里</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2.50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81" w:type="pct"/>
            <w:gridSpan w:val="4"/>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十一、综合交通枢纽（25项）</w:t>
            </w:r>
          </w:p>
        </w:tc>
        <w:tc>
          <w:tcPr>
            <w:tcW w:w="446" w:type="pct"/>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 xml:space="preserve">8.89 </w:t>
            </w:r>
          </w:p>
        </w:tc>
        <w:tc>
          <w:tcPr>
            <w:tcW w:w="510" w:type="pct"/>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 xml:space="preserve">1.00 </w:t>
            </w:r>
          </w:p>
        </w:tc>
        <w:tc>
          <w:tcPr>
            <w:tcW w:w="473" w:type="pct"/>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0.21</w:t>
            </w:r>
          </w:p>
        </w:tc>
        <w:tc>
          <w:tcPr>
            <w:tcW w:w="391" w:type="pct"/>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w:t>
            </w:r>
          </w:p>
        </w:tc>
        <w:tc>
          <w:tcPr>
            <w:tcW w:w="499" w:type="pct"/>
            <w:shd w:val="clear" w:color="auto" w:fill="auto"/>
            <w:vAlign w:val="center"/>
          </w:tcPr>
          <w:p>
            <w:pPr>
              <w:adjustRightInd w:val="0"/>
              <w:snapToGrid w:val="0"/>
              <w:spacing w:line="340" w:lineRule="exact"/>
              <w:ind w:firstLine="0" w:firstLineChars="0"/>
              <w:jc w:val="center"/>
              <w:rPr>
                <w:rFonts w:eastAsia="方正仿宋简体"/>
                <w:b/>
                <w:sz w:val="21"/>
                <w:szCs w:val="21"/>
              </w:rPr>
            </w:pPr>
            <w:r>
              <w:rPr>
                <w:rFonts w:eastAsia="方正仿宋简体"/>
                <w:b/>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阳东综合交通枢纽配套工程</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预留用地2万平方米，配套建设汽车站、公交站、出租车停车场等</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1.00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1.00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0.02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2019-2023</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阳东综合客运枢纽</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12万平方米</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4.80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0.12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3</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阳东客运站</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3万平方米</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1.20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0.03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4</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合山综合客运枢纽</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2000平方米</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0.08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北惯客运站</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8000平方米</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0.32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0.01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6</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东平客运站</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2000平方米</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0.08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w:t>
            </w:r>
          </w:p>
        </w:tc>
        <w:tc>
          <w:tcPr>
            <w:tcW w:w="108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新洲客运站</w:t>
            </w:r>
          </w:p>
        </w:tc>
        <w:tc>
          <w:tcPr>
            <w:tcW w:w="25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700平方米</w:t>
            </w:r>
          </w:p>
        </w:tc>
        <w:tc>
          <w:tcPr>
            <w:tcW w:w="446"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0.03 </w:t>
            </w:r>
          </w:p>
        </w:tc>
        <w:tc>
          <w:tcPr>
            <w:tcW w:w="510"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4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东平良洞客运站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0.08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雅韶客运站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0.03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10</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大沟客运站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那龙客运站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塘坪客运站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红丰客运站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大八客运站</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新改建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合山综合物流园区</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2万平方米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0.80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0.02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16</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阳东综合物流园区</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5000平方米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0.20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17</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东平物流园区</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0.08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18</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城南物流配送中心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0.03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19</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雅韶物流配送中心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0.03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1"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红丰物流配送中心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5"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21</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新洲物流配送中心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700平方米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0.03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0"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22</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大沟物流配送中心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9"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23</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塘坪物流配送中心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6"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24</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大八物流配送中心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5" w:hRule="atLeast"/>
          <w:jc w:val="center"/>
        </w:trPr>
        <w:tc>
          <w:tcPr>
            <w:tcW w:w="20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25</w:t>
            </w:r>
          </w:p>
        </w:tc>
        <w:tc>
          <w:tcPr>
            <w:tcW w:w="108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那龙物流配送中心</w:t>
            </w:r>
          </w:p>
        </w:tc>
        <w:tc>
          <w:tcPr>
            <w:tcW w:w="25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新建</w:t>
            </w:r>
          </w:p>
        </w:tc>
        <w:tc>
          <w:tcPr>
            <w:tcW w:w="1147"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200平方米</w:t>
            </w:r>
          </w:p>
        </w:tc>
        <w:tc>
          <w:tcPr>
            <w:tcW w:w="446"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0.01 </w:t>
            </w:r>
          </w:p>
        </w:tc>
        <w:tc>
          <w:tcPr>
            <w:tcW w:w="510"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473"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 xml:space="preserve">0 </w:t>
            </w:r>
          </w:p>
        </w:tc>
        <w:tc>
          <w:tcPr>
            <w:tcW w:w="391"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待定</w:t>
            </w:r>
          </w:p>
        </w:tc>
        <w:tc>
          <w:tcPr>
            <w:tcW w:w="499" w:type="pct"/>
            <w:shd w:val="clear" w:color="auto" w:fill="auto"/>
            <w:vAlign w:val="center"/>
          </w:tcPr>
          <w:p>
            <w:pPr>
              <w:adjustRightInd w:val="0"/>
              <w:snapToGrid w:val="0"/>
              <w:spacing w:line="360" w:lineRule="exact"/>
              <w:ind w:firstLine="0" w:firstLineChars="0"/>
              <w:jc w:val="center"/>
              <w:rPr>
                <w:rFonts w:eastAsia="方正仿宋简体"/>
                <w:sz w:val="21"/>
                <w:szCs w:val="21"/>
              </w:rPr>
            </w:pPr>
            <w:r>
              <w:rPr>
                <w:rFonts w:eastAsia="方正仿宋简体"/>
                <w:sz w:val="21"/>
                <w:szCs w:val="21"/>
              </w:rPr>
              <w:t>否</w:t>
            </w:r>
          </w:p>
        </w:tc>
      </w:tr>
    </w:tbl>
    <w:p>
      <w:pPr>
        <w:ind w:firstLine="0" w:firstLineChars="0"/>
        <w:sectPr>
          <w:pgSz w:w="16838" w:h="11906" w:orient="landscape"/>
          <w:pgMar w:top="1800" w:right="1440" w:bottom="1800" w:left="1440" w:header="851" w:footer="992" w:gutter="0"/>
          <w:cols w:space="425" w:num="1"/>
          <w:docGrid w:type="lines" w:linePitch="381" w:charSpace="0"/>
        </w:sectPr>
      </w:pPr>
    </w:p>
    <w:p>
      <w:pPr>
        <w:widowControl w:val="0"/>
        <w:adjustRightInd w:val="0"/>
        <w:snapToGrid w:val="0"/>
        <w:spacing w:line="570" w:lineRule="exact"/>
        <w:ind w:firstLine="640"/>
        <w:jc w:val="both"/>
        <w:rPr>
          <w:rFonts w:eastAsia="方正仿宋简体"/>
          <w:sz w:val="32"/>
        </w:rPr>
        <w:sectPr>
          <w:footerReference r:id="rId23" w:type="default"/>
          <w:pgSz w:w="11906" w:h="16838"/>
          <w:pgMar w:top="1814" w:right="1531" w:bottom="1814" w:left="1531" w:header="567" w:footer="1531" w:gutter="0"/>
          <w:cols w:space="425" w:num="1"/>
          <w:docGrid w:type="lines" w:linePitch="381" w:charSpace="0"/>
        </w:sect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widowControl w:val="0"/>
        <w:adjustRightInd w:val="0"/>
        <w:snapToGrid w:val="0"/>
        <w:spacing w:line="570" w:lineRule="exact"/>
        <w:ind w:firstLine="640"/>
        <w:jc w:val="both"/>
        <w:rPr>
          <w:rFonts w:eastAsia="方正仿宋简体"/>
          <w:sz w:val="32"/>
        </w:rPr>
      </w:pPr>
    </w:p>
    <w:p>
      <w:pPr>
        <w:adjustRightInd w:val="0"/>
        <w:snapToGrid w:val="0"/>
        <w:spacing w:line="570" w:lineRule="exact"/>
        <w:ind w:firstLine="0" w:firstLineChars="0"/>
        <w:rPr>
          <w:rFonts w:eastAsia="方正仿宋简体"/>
          <w:sz w:val="32"/>
          <w:szCs w:val="28"/>
        </w:rPr>
      </w:pPr>
      <w:r>
        <w:rPr>
          <w:rFonts w:hint="eastAsia" w:eastAsia="黑体"/>
          <w:sz w:val="32"/>
          <w:szCs w:val="28"/>
        </w:rPr>
        <w:t>公开方式：</w:t>
      </w:r>
      <w:r>
        <w:rPr>
          <w:rFonts w:hint="eastAsia" w:eastAsia="方正仿宋简体"/>
          <w:sz w:val="32"/>
          <w:szCs w:val="28"/>
        </w:rPr>
        <w:t>主动公开</w:t>
      </w:r>
    </w:p>
    <w:p>
      <w:pPr>
        <w:adjustRightInd w:val="0"/>
        <w:snapToGrid w:val="0"/>
        <w:spacing w:line="570" w:lineRule="exact"/>
        <w:ind w:firstLine="560"/>
        <w:rPr>
          <w:rFonts w:cs="仿宋"/>
          <w:szCs w:val="32"/>
        </w:rPr>
      </w:pPr>
    </w:p>
    <w:p>
      <w:pPr>
        <w:adjustRightInd w:val="0"/>
        <w:snapToGrid w:val="0"/>
        <w:spacing w:line="400" w:lineRule="exact"/>
        <w:ind w:left="1086" w:leftChars="88" w:hanging="840" w:hangingChars="300"/>
        <w:rPr>
          <w:rFonts w:eastAsia="方正仿宋简体"/>
          <w:color w:val="000000"/>
          <w:szCs w:val="28"/>
        </w:rPr>
      </w:pPr>
      <w:r>
        <w:rPr>
          <w:rFonts w:eastAsia="方正仿宋简体"/>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-1270</wp:posOffset>
                </wp:positionV>
                <wp:extent cx="5715000" cy="0"/>
                <wp:effectExtent l="10160" t="7620" r="8890" b="1143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5715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0.1pt;height:0pt;width:450pt;z-index:251659264;mso-width-relative:page;mso-height-relative:page;" filled="f" stroked="t" coordsize="21600,21600" o:gfxdata="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3ASRc0QAAAAQBAAAPAAAAAAAA&#10;AAEAIAAAADgAAABkcnMvZG93bnJldi54bWxQSwECFAAUAAAACACHTuJAsKJr9soBAABfAwAADgAA&#10;AAAAAAABACAAAAA2AQAAZHJzL2Uyb0RvYy54bWxQSwUGAAAAAAYABgBZAQAAcgUAAAAA&#10;">
                <v:fill on="f" focussize="0,0"/>
                <v:stroke color="#000000" joinstyle="round"/>
                <v:imagedata o:title=""/>
                <o:lock v:ext="edit" aspectratio="f"/>
              </v:line>
            </w:pict>
          </mc:Fallback>
        </mc:AlternateContent>
      </w:r>
      <w:r>
        <w:rPr>
          <w:rFonts w:hint="eastAsia" w:eastAsia="方正仿宋简体"/>
          <w:color w:val="000000"/>
          <w:szCs w:val="28"/>
        </w:rPr>
        <w:t>抄送：区委有关部委办局，区人大办，区政协办，区纪委监委办，区人武部，区法院，区检察院，省、市驻阳东有关单位。</w:t>
      </w:r>
    </w:p>
    <w:p>
      <w:pPr>
        <w:tabs>
          <w:tab w:val="left" w:pos="8730"/>
        </w:tabs>
        <w:adjustRightInd w:val="0"/>
        <w:snapToGrid w:val="0"/>
        <w:spacing w:line="400" w:lineRule="exact"/>
        <w:ind w:firstLine="280" w:firstLineChars="100"/>
        <w:rPr>
          <w:szCs w:val="32"/>
        </w:rPr>
      </w:pPr>
      <w:r>
        <w:rPr>
          <w:rFonts w:eastAsia="方正仿宋简体"/>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245110</wp:posOffset>
                </wp:positionV>
                <wp:extent cx="5715000" cy="0"/>
                <wp:effectExtent l="10160" t="9525" r="8890" b="9525"/>
                <wp:wrapNone/>
                <wp:docPr id="1" name="直接连接符 1"/>
                <wp:cNvGraphicFramePr/>
                <a:graphic xmlns:a="http://schemas.openxmlformats.org/drawingml/2006/main">
                  <a:graphicData uri="http://schemas.microsoft.com/office/word/2010/wordprocessingShape">
                    <wps:wsp>
                      <wps:cNvCnPr>
                        <a:cxnSpLocks noChangeShapeType="true"/>
                      </wps:cNvCnPr>
                      <wps:spPr bwMode="auto">
                        <a:xfrm>
                          <a:off x="0" y="0"/>
                          <a:ext cx="5715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3.75pt;margin-top:19.3pt;height:0pt;width:450pt;z-index:251660288;mso-width-relative:page;mso-height-relative:page;" filled="f" stroked="t" coordsize="21600,21600" o:gfxdata="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OwGVd3TAAAABwEAAA8AAAAA&#10;AAAAAQAgAAAAOAAAAGRycy9kb3ducmV2LnhtbFBLAQIUABQAAAAIAIdO4kBJSLM3ygEAAF8DAAAO&#10;AAAAAAAAAAEAIAAAADgBAABkcnMvZTJvRG9jLnhtbFBLBQYAAAAABgAGAFkBAAB0BQAAAAA=&#10;">
                <v:fill on="f" focussize="0,0"/>
                <v:stroke color="#000000" joinstyle="round"/>
                <v:imagedata o:title=""/>
                <o:lock v:ext="edit" aspectratio="f"/>
              </v:line>
            </w:pict>
          </mc:Fallback>
        </mc:AlternateContent>
      </w:r>
      <w:r>
        <w:rPr>
          <w:rFonts w:eastAsia="方正仿宋简体"/>
          <w:szCs w:val="28"/>
        </w:rPr>
        <mc:AlternateContent>
          <mc:Choice Requires="wps">
            <w:drawing>
              <wp:anchor distT="0" distB="0" distL="114300" distR="114300" simplePos="0" relativeHeight="251663360" behindDoc="0" locked="0" layoutInCell="1" allowOverlap="1">
                <wp:simplePos x="0" y="0"/>
                <wp:positionH relativeFrom="column">
                  <wp:posOffset>5600700</wp:posOffset>
                </wp:positionH>
                <wp:positionV relativeFrom="paragraph">
                  <wp:posOffset>635</wp:posOffset>
                </wp:positionV>
                <wp:extent cx="635" cy="0"/>
                <wp:effectExtent l="10160" t="12700" r="8255" b="6350"/>
                <wp:wrapNone/>
                <wp:docPr id="3" name="直接连接符 3"/>
                <wp:cNvGraphicFramePr/>
                <a:graphic xmlns:a="http://schemas.openxmlformats.org/drawingml/2006/main">
                  <a:graphicData uri="http://schemas.microsoft.com/office/word/2010/wordprocessingShape">
                    <wps:wsp>
                      <wps:cNvCnPr>
                        <a:cxnSpLocks noChangeShapeType="true"/>
                      </wps:cNvCnPr>
                      <wps:spPr bwMode="auto">
                        <a:xfrm>
                          <a:off x="0" y="0"/>
                          <a:ext cx="63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41pt;margin-top:0.05pt;height:0pt;width:0.05pt;z-index:251663360;mso-width-relative:page;mso-height-relative:page;" filled="f" stroked="t" coordsize="21600,21600" o:gfxdata="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K6GSyXRAAAABQEAAA8AAAAAAAAAAQAg&#10;AAAAOAAAAGRycy9kb3ducmV2LnhtbFBLAQIUABQAAAAIAIdO4kCil94exgEAAFsDAAAOAAAAAAAA&#10;AAEAIAAAADYBAABkcnMvZTJvRG9jLnhtbFBLBQYAAAAABgAGAFkBAABuBQAAAAA=&#10;">
                <v:fill on="f" focussize="0,0"/>
                <v:stroke color="#000000" joinstyle="round"/>
                <v:imagedata o:title=""/>
                <o:lock v:ext="edit" aspectratio="f"/>
              </v:line>
            </w:pict>
          </mc:Fallback>
        </mc:AlternateContent>
      </w:r>
      <w:r>
        <w:rPr>
          <w:rFonts w:eastAsia="方正仿宋简体"/>
          <w:szCs w:val="28"/>
        </w:rPr>
        <mc:AlternateContent>
          <mc:Choice Requires="wps">
            <w:drawing>
              <wp:anchor distT="0" distB="0" distL="114300" distR="114300" simplePos="0" relativeHeight="251662336" behindDoc="0" locked="0" layoutInCell="1" allowOverlap="1">
                <wp:simplePos x="0" y="0"/>
                <wp:positionH relativeFrom="column">
                  <wp:posOffset>5600700</wp:posOffset>
                </wp:positionH>
                <wp:positionV relativeFrom="paragraph">
                  <wp:posOffset>635</wp:posOffset>
                </wp:positionV>
                <wp:extent cx="114300" cy="0"/>
                <wp:effectExtent l="10160" t="12700" r="8890" b="6350"/>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114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41pt;margin-top:0.05pt;height:0pt;width:9pt;z-index:251662336;mso-width-relative:page;mso-height-relative:page;" filled="f" stroked="t" coordsize="21600,21600" o:gfxdata="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BYdr1W0QAAAAUBAAAPAAAAAAAA&#10;AAEAIAAAADgAAABkcnMvZG93bnJldi54bWxQSwECFAAUAAAACACHTuJA5mA+ycoBAABeAwAADgAA&#10;AAAAAAABACAAAAA2AQAAZHJzL2Uyb0RvYy54bWxQSwUGAAAAAAYABgBZAQAAcgUAAAAA&#10;">
                <v:fill on="f" focussize="0,0"/>
                <v:stroke color="#000000" joinstyle="round"/>
                <v:imagedata o:title=""/>
                <o:lock v:ext="edit" aspectratio="f"/>
              </v:line>
            </w:pict>
          </mc:Fallback>
        </mc:AlternateContent>
      </w:r>
      <w:r>
        <w:rPr>
          <w:rFonts w:eastAsia="方正仿宋简体"/>
          <w:szCs w:val="28"/>
        </w:rPr>
        <mc:AlternateContent>
          <mc:Choice Requires="wps">
            <w:drawing>
              <wp:anchor distT="0" distB="0" distL="114300" distR="114300" simplePos="0" relativeHeight="251661312" behindDoc="0" locked="0" layoutInCell="1" allowOverlap="1">
                <wp:simplePos x="0" y="0"/>
                <wp:positionH relativeFrom="column">
                  <wp:posOffset>-12700</wp:posOffset>
                </wp:positionH>
                <wp:positionV relativeFrom="paragraph">
                  <wp:posOffset>635</wp:posOffset>
                </wp:positionV>
                <wp:extent cx="5600700" cy="0"/>
                <wp:effectExtent l="6985" t="12700" r="12065" b="6350"/>
                <wp:wrapNone/>
                <wp:docPr id="6" name="直接连接符 6"/>
                <wp:cNvGraphicFramePr/>
                <a:graphic xmlns:a="http://schemas.openxmlformats.org/drawingml/2006/main">
                  <a:graphicData uri="http://schemas.microsoft.com/office/word/2010/wordprocessingShape">
                    <wps:wsp>
                      <wps:cNvCnPr>
                        <a:cxnSpLocks noChangeShapeType="true"/>
                      </wps:cNvCnPr>
                      <wps:spPr bwMode="auto">
                        <a:xfrm>
                          <a:off x="0" y="0"/>
                          <a:ext cx="5600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pt;margin-top:0.05pt;height:0pt;width:441pt;z-index:251661312;mso-width-relative:page;mso-height-relative:page;" filled="f" stroked="t" coordsize="21600,21600" o:gfxdata="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0+7a0QAAAAQBAAAPAAAAAAAA&#10;AAEAIAAAADgAAABkcnMvZG93bnJldi54bWxQSwECFAAUAAAACACHTuJAk3d7QsoBAABfAwAADgAA&#10;AAAAAAABACAAAAA2AQAAZHJzL2Uyb0RvYy54bWxQSwUGAAAAAAYABgBZAQAAcgUAAAAA&#10;">
                <v:fill on="f" focussize="0,0"/>
                <v:stroke color="#000000" joinstyle="round"/>
                <v:imagedata o:title=""/>
                <o:lock v:ext="edit" aspectratio="f"/>
              </v:line>
            </w:pict>
          </mc:Fallback>
        </mc:AlternateContent>
      </w:r>
      <w:r>
        <w:rPr>
          <w:rFonts w:eastAsia="方正仿宋简体"/>
          <w:color w:val="000000"/>
          <w:szCs w:val="28"/>
        </w:rPr>
        <w:t>阳江市阳东区人民政府办公室</w:t>
      </w:r>
      <w:r>
        <w:rPr>
          <w:rFonts w:hint="eastAsia" w:eastAsia="方正仿宋简体"/>
          <w:color w:val="000000"/>
          <w:szCs w:val="28"/>
        </w:rPr>
        <w:t xml:space="preserve">          </w:t>
      </w:r>
      <w:r>
        <w:rPr>
          <w:rFonts w:eastAsia="方正仿宋简体"/>
          <w:color w:val="000000"/>
          <w:szCs w:val="28"/>
        </w:rPr>
        <w:t xml:space="preserve">   202</w:t>
      </w:r>
      <w:r>
        <w:rPr>
          <w:rFonts w:hint="eastAsia" w:eastAsia="方正仿宋简体"/>
          <w:color w:val="000000"/>
          <w:szCs w:val="28"/>
        </w:rPr>
        <w:t>4</w:t>
      </w:r>
      <w:r>
        <w:rPr>
          <w:rFonts w:eastAsia="方正仿宋简体"/>
          <w:color w:val="000000"/>
          <w:szCs w:val="28"/>
        </w:rPr>
        <w:t>年</w:t>
      </w:r>
      <w:r>
        <w:rPr>
          <w:rFonts w:hint="eastAsia" w:eastAsia="方正仿宋简体"/>
          <w:color w:val="000000"/>
          <w:szCs w:val="28"/>
        </w:rPr>
        <w:t>5</w:t>
      </w:r>
      <w:r>
        <w:rPr>
          <w:rFonts w:eastAsia="方正仿宋简体"/>
          <w:color w:val="000000"/>
          <w:szCs w:val="28"/>
        </w:rPr>
        <w:t>月</w:t>
      </w:r>
      <w:r>
        <w:rPr>
          <w:rFonts w:hint="eastAsia" w:eastAsia="方正仿宋简体"/>
          <w:color w:val="000000"/>
          <w:szCs w:val="28"/>
        </w:rPr>
        <w:t>9</w:t>
      </w:r>
      <w:r>
        <w:rPr>
          <w:rFonts w:eastAsia="方正仿宋简体"/>
          <w:color w:val="000000"/>
          <w:szCs w:val="28"/>
        </w:rPr>
        <w:t>日印发</w:t>
      </w:r>
    </w:p>
    <w:sectPr>
      <w:pgSz w:w="11906" w:h="16838"/>
      <w:pgMar w:top="1814" w:right="1531" w:bottom="1814" w:left="1531" w:header="567" w:footer="1531"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Light">
    <w:altName w:val="华文中宋"/>
    <w:panose1 w:val="02010600030101010101"/>
    <w:charset w:val="86"/>
    <w:family w:val="auto"/>
    <w:pitch w:val="default"/>
    <w:sig w:usb0="00000000" w:usb1="00000000" w:usb2="00000016" w:usb3="00000000" w:csb0="0004000F" w:csb1="00000000"/>
  </w:font>
  <w:font w:name="Cambria">
    <w:panose1 w:val="02040803050406030204"/>
    <w:charset w:val="00"/>
    <w:family w:val="roman"/>
    <w:pitch w:val="default"/>
    <w:sig w:usb0="E00002FF" w:usb1="4000045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楷体_GB2312">
    <w:altName w:val="楷体"/>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Batang">
    <w:altName w:val="Malgun Gothic"/>
    <w:panose1 w:val="02030600000101010101"/>
    <w:charset w:val="81"/>
    <w:family w:val="auto"/>
    <w:pitch w:val="default"/>
    <w:sig w:usb0="00000000" w:usb1="00000000" w:usb2="00000010" w:usb3="00000000" w:csb0="00080000" w:csb1="00000000"/>
  </w:font>
  <w:font w:name="新宋体">
    <w:altName w:val="方正书宋_GBK"/>
    <w:panose1 w:val="02010609030101010101"/>
    <w:charset w:val="86"/>
    <w:family w:val="modern"/>
    <w:pitch w:val="default"/>
    <w:sig w:usb0="00000000" w:usb1="00000000" w:usb2="00000016" w:usb3="00000000" w:csb0="00040001" w:csb1="00000000"/>
  </w:font>
  <w:font w:name="MingLiU">
    <w:altName w:val="Droid Sans Japanese"/>
    <w:panose1 w:val="02020509000000000000"/>
    <w:charset w:val="88"/>
    <w:family w:val="modern"/>
    <w:pitch w:val="default"/>
    <w:sig w:usb0="00000000" w:usb1="00000000" w:usb2="00000010" w:usb3="00000000" w:csb0="00100000" w:csb1="00000000"/>
  </w:font>
  <w:font w:name="Constantia">
    <w:panose1 w:val="02030602050306030303"/>
    <w:charset w:val="00"/>
    <w:family w:val="roman"/>
    <w:pitch w:val="default"/>
    <w:sig w:usb0="A00002EF" w:usb1="4000204B" w:usb2="00000000" w:usb3="00000000" w:csb0="2000019F" w:csb1="00000000"/>
  </w:font>
  <w:font w:name="Tahoma">
    <w:panose1 w:val="020B0604030504040204"/>
    <w:charset w:val="00"/>
    <w:family w:val="swiss"/>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font>
  <w:font w:name="Microsoft YaHei UI">
    <w:altName w:val="微软雅黑"/>
    <w:panose1 w:val="020B0503020204020204"/>
    <w:charset w:val="86"/>
    <w:family w:val="swiss"/>
    <w:pitch w:val="default"/>
    <w:sig w:usb0="00000000" w:usb1="00000000" w:usb2="00000016" w:usb3="00000000" w:csb0="0004001F" w:csb1="00000000"/>
  </w:font>
  <w:font w:name="方正仿宋_GBK">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Cambria Math">
    <w:altName w:val="DejaVu Math TeX Gyre"/>
    <w:panose1 w:val="02040503050406030204"/>
    <w:charset w:val="00"/>
    <w:family w:val="roman"/>
    <w:pitch w:val="default"/>
    <w:sig w:usb0="00000000" w:usb1="00000000" w:usb2="02000000" w:usb3="00000000" w:csb0="0000019F" w:csb1="00000000"/>
  </w:font>
  <w:font w:name="Arial Unicode MS">
    <w:panose1 w:val="020B0604020202020204"/>
    <w:charset w:val="86"/>
    <w:family w:val="auto"/>
    <w:pitch w:val="default"/>
    <w:sig w:usb0="FFFFFFFF" w:usb1="E9FFFFFF" w:usb2="0000003F" w:usb3="00000000" w:csb0="603F01FF" w:csb1="FFFF0000"/>
  </w:font>
  <w:font w:name="方正书宋_GBK">
    <w:panose1 w:val="02000000000000000000"/>
    <w:charset w:val="86"/>
    <w:family w:val="auto"/>
    <w:pitch w:val="default"/>
    <w:sig w:usb0="00000001" w:usb1="08000000" w:usb2="00000000" w:usb3="00000000" w:csb0="00040000" w:csb1="00000000"/>
  </w:font>
  <w:font w:name="等线 Light">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方正宋体S-超大字符集">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ind w:firstLine="360"/>
      <w:jc w:val="center"/>
    </w:pPr>
    <w:r>
      <w:rPr>
        <w:rFonts w:hint="eastAsia"/>
      </w:rPr>
      <w:t>1</w:t>
    </w:r>
  </w:p>
  <w:p>
    <w:pPr>
      <w:pStyle w:val="4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Bdr>
        <w:top w:val="single" w:color="auto" w:sz="4" w:space="1"/>
      </w:pBdr>
      <w:ind w:firstLine="360"/>
      <w:jc w:val="center"/>
    </w:pPr>
    <w:r>
      <w:fldChar w:fldCharType="begin"/>
    </w:r>
    <w:r>
      <w:instrText xml:space="preserve">PAGE   \* MERGEFORMAT</w:instrText>
    </w:r>
    <w:r>
      <w:fldChar w:fldCharType="separate"/>
    </w:r>
    <w:r>
      <w:rPr>
        <w:lang w:val="zh-CN"/>
      </w:rPr>
      <w:t>4</w:t>
    </w:r>
    <w:r>
      <w:fldChar w:fldCharType="end"/>
    </w:r>
  </w:p>
  <w:p>
    <w:pPr>
      <w:pStyle w:val="4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tabs>
        <w:tab w:val="center" w:pos="4333"/>
        <w:tab w:val="left" w:pos="4858"/>
      </w:tabs>
      <w:ind w:firstLine="360"/>
    </w:pPr>
    <w:r>
      <w:tab/>
    </w:r>
    <w:r>
      <w:tab/>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outside" w:y="1"/>
      <w:ind w:right="280" w:rightChars="100" w:firstLine="198" w:firstLineChars="71"/>
      <w:rPr>
        <w:rStyle w:val="73"/>
        <w:rFonts w:ascii="宋体" w:hAnsi="宋体"/>
        <w:sz w:val="28"/>
      </w:rPr>
    </w:pPr>
    <w:r>
      <w:rPr>
        <w:rStyle w:val="73"/>
        <w:rFonts w:hint="eastAsia" w:ascii="宋体" w:hAnsi="宋体"/>
        <w:sz w:val="28"/>
      </w:rPr>
      <w:t xml:space="preserve">- </w:t>
    </w:r>
    <w:r>
      <w:rPr>
        <w:rStyle w:val="73"/>
        <w:rFonts w:ascii="宋体" w:hAnsi="宋体"/>
        <w:sz w:val="28"/>
      </w:rPr>
      <w:fldChar w:fldCharType="begin"/>
    </w:r>
    <w:r>
      <w:rPr>
        <w:rStyle w:val="73"/>
        <w:rFonts w:ascii="宋体" w:hAnsi="宋体"/>
        <w:sz w:val="28"/>
      </w:rPr>
      <w:instrText xml:space="preserve">PAGE  </w:instrText>
    </w:r>
    <w:r>
      <w:rPr>
        <w:rStyle w:val="73"/>
        <w:rFonts w:ascii="宋体" w:hAnsi="宋体"/>
        <w:sz w:val="28"/>
      </w:rPr>
      <w:fldChar w:fldCharType="separate"/>
    </w:r>
    <w:r>
      <w:rPr>
        <w:rStyle w:val="73"/>
        <w:rFonts w:ascii="宋体" w:hAnsi="宋体"/>
        <w:sz w:val="28"/>
      </w:rPr>
      <w:t>86</w:t>
    </w:r>
    <w:r>
      <w:rPr>
        <w:rStyle w:val="73"/>
        <w:rFonts w:ascii="宋体" w:hAnsi="宋体"/>
        <w:sz w:val="28"/>
      </w:rPr>
      <w:fldChar w:fldCharType="end"/>
    </w:r>
    <w:r>
      <w:rPr>
        <w:rStyle w:val="73"/>
        <w:rFonts w:hint="eastAsia" w:ascii="宋体" w:hAnsi="宋体"/>
        <w:sz w:val="28"/>
      </w:rPr>
      <w:t xml:space="preserve"> -</w:t>
    </w:r>
  </w:p>
  <w:p>
    <w:pPr>
      <w:pStyle w:val="40"/>
      <w:tabs>
        <w:tab w:val="center" w:pos="4333"/>
        <w:tab w:val="left" w:pos="4858"/>
      </w:tabs>
      <w:ind w:firstLine="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tabs>
        <w:tab w:val="center" w:pos="4333"/>
        <w:tab w:val="left" w:pos="4858"/>
      </w:tabs>
      <w:ind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Bdr>
        <w:bottom w:val="single" w:color="auto" w:sz="4" w:space="1"/>
      </w:pBdr>
      <w:ind w:firstLine="360"/>
      <w:jc w:val="right"/>
      <w:rPr>
        <w:rFonts w:ascii="黑体" w:hAns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firstLine="0" w:firstLineChars="0"/>
      <w:jc w:val="left"/>
    </w:pPr>
    <w:r>
      <w:rPr>
        <w:rFonts w:hint="eastAsia" w:ascii="黑体" w:hAnsi="黑体" w:eastAsia="黑体"/>
      </w:rPr>
      <w:t>茂名市综合交通运输体系“十四五”规划</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14"/>
      <w:lvlText w:val=""/>
      <w:lvlJc w:val="left"/>
      <w:pPr>
        <w:tabs>
          <w:tab w:val="left" w:pos="4682"/>
        </w:tabs>
        <w:ind w:left="4682" w:leftChars="600" w:hanging="360" w:hangingChars="200"/>
      </w:pPr>
      <w:rPr>
        <w:rFonts w:hint="default" w:ascii="Wingdings" w:hAnsi="Wingdings"/>
      </w:rPr>
    </w:lvl>
  </w:abstractNum>
  <w:abstractNum w:abstractNumId="1">
    <w:nsid w:val="FFFFFF82"/>
    <w:multiLevelType w:val="singleLevel"/>
    <w:tmpl w:val="FFFFFF82"/>
    <w:lvl w:ilvl="0" w:tentative="0">
      <w:start w:val="1"/>
      <w:numFmt w:val="bullet"/>
      <w:pStyle w:val="24"/>
      <w:lvlText w:val=""/>
      <w:lvlJc w:val="left"/>
      <w:pPr>
        <w:tabs>
          <w:tab w:val="left" w:pos="1200"/>
        </w:tabs>
        <w:ind w:left="1200" w:leftChars="400" w:hanging="360" w:hangingChars="200"/>
      </w:pPr>
      <w:rPr>
        <w:rFonts w:hint="default" w:ascii="Wingdings" w:hAnsi="Wingdings"/>
      </w:rPr>
    </w:lvl>
  </w:abstractNum>
  <w:abstractNum w:abstractNumId="2">
    <w:nsid w:val="FFFFFF83"/>
    <w:multiLevelType w:val="singleLevel"/>
    <w:tmpl w:val="FFFFFF83"/>
    <w:lvl w:ilvl="0" w:tentative="0">
      <w:start w:val="1"/>
      <w:numFmt w:val="bullet"/>
      <w:pStyle w:val="29"/>
      <w:lvlText w:val=""/>
      <w:lvlJc w:val="left"/>
      <w:pPr>
        <w:tabs>
          <w:tab w:val="left" w:pos="780"/>
        </w:tabs>
        <w:ind w:left="780" w:leftChars="200" w:hanging="360" w:hangingChars="200"/>
      </w:pPr>
      <w:rPr>
        <w:rFonts w:hint="default" w:ascii="Wingdings" w:hAnsi="Wingdings"/>
      </w:rPr>
    </w:lvl>
  </w:abstractNum>
  <w:abstractNum w:abstractNumId="3">
    <w:nsid w:val="0FA85DA9"/>
    <w:multiLevelType w:val="multilevel"/>
    <w:tmpl w:val="0FA85DA9"/>
    <w:lvl w:ilvl="0" w:tentative="0">
      <w:start w:val="1"/>
      <w:numFmt w:val="decimal"/>
      <w:pStyle w:val="138"/>
      <w:lvlText w:val="%1"/>
      <w:lvlJc w:val="left"/>
      <w:pPr>
        <w:ind w:left="425" w:hanging="425"/>
      </w:pPr>
      <w:rPr>
        <w:rFonts w:hint="eastAsia"/>
      </w:rPr>
    </w:lvl>
    <w:lvl w:ilvl="1" w:tentative="0">
      <w:start w:val="1"/>
      <w:numFmt w:val="decimal"/>
      <w:pStyle w:val="136"/>
      <w:lvlText w:val="%1.%2"/>
      <w:lvlJc w:val="left"/>
      <w:pPr>
        <w:ind w:left="992" w:hanging="567"/>
      </w:pPr>
      <w:rPr>
        <w:rFonts w:hint="eastAsia"/>
      </w:rPr>
    </w:lvl>
    <w:lvl w:ilvl="2" w:tentative="0">
      <w:start w:val="1"/>
      <w:numFmt w:val="decimal"/>
      <w:pStyle w:val="135"/>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182B5D3E"/>
    <w:multiLevelType w:val="multilevel"/>
    <w:tmpl w:val="182B5D3E"/>
    <w:lvl w:ilvl="0" w:tentative="0">
      <w:start w:val="1"/>
      <w:numFmt w:val="decimal"/>
      <w:lvlText w:val="%1"/>
      <w:lvlJc w:val="left"/>
      <w:pPr>
        <w:tabs>
          <w:tab w:val="left" w:pos="432"/>
        </w:tabs>
        <w:ind w:left="432" w:hanging="432"/>
      </w:pPr>
      <w:rPr>
        <w:rFonts w:hint="eastAsia"/>
        <w:sz w:val="36"/>
        <w:szCs w:val="32"/>
      </w:rPr>
    </w:lvl>
    <w:lvl w:ilvl="1" w:tentative="0">
      <w:start w:val="1"/>
      <w:numFmt w:val="decimal"/>
      <w:lvlText w:val="%1.%2"/>
      <w:lvlJc w:val="left"/>
      <w:pPr>
        <w:tabs>
          <w:tab w:val="left" w:pos="718"/>
        </w:tabs>
        <w:ind w:left="718" w:hanging="576"/>
      </w:pPr>
      <w:rPr>
        <w:rFonts w:hint="eastAsia"/>
        <w:sz w:val="32"/>
      </w:rPr>
    </w:lvl>
    <w:lvl w:ilvl="2" w:tentative="0">
      <w:start w:val="1"/>
      <w:numFmt w:val="decimal"/>
      <w:lvlText w:val="%1.%2.%3"/>
      <w:lvlJc w:val="left"/>
      <w:pPr>
        <w:tabs>
          <w:tab w:val="left" w:pos="720"/>
        </w:tabs>
        <w:ind w:left="720" w:hanging="720"/>
      </w:pPr>
      <w:rPr>
        <w:rFonts w:hint="eastAsia"/>
        <w:sz w:val="28"/>
      </w:rPr>
    </w:lvl>
    <w:lvl w:ilvl="3" w:tentative="0">
      <w:start w:val="1"/>
      <w:numFmt w:val="decimal"/>
      <w:lvlText w:val="%1.%2.%3.%4"/>
      <w:lvlJc w:val="left"/>
      <w:pPr>
        <w:tabs>
          <w:tab w:val="left" w:pos="864"/>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
    <w:nsid w:val="23DE4590"/>
    <w:multiLevelType w:val="multilevel"/>
    <w:tmpl w:val="23DE4590"/>
    <w:lvl w:ilvl="0" w:tentative="0">
      <w:start w:val="1"/>
      <w:numFmt w:val="decimal"/>
      <w:pStyle w:val="197"/>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27DD7F07"/>
    <w:multiLevelType w:val="multilevel"/>
    <w:tmpl w:val="27DD7F07"/>
    <w:lvl w:ilvl="0" w:tentative="0">
      <w:start w:val="1"/>
      <w:numFmt w:val="bullet"/>
      <w:pStyle w:val="302"/>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00"/>
        </w:tabs>
        <w:ind w:left="840" w:firstLine="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3AED478A"/>
    <w:multiLevelType w:val="multilevel"/>
    <w:tmpl w:val="3AED478A"/>
    <w:lvl w:ilvl="0" w:tentative="0">
      <w:start w:val="3"/>
      <w:numFmt w:val="decimal"/>
      <w:lvlText w:val="%1"/>
      <w:lvlJc w:val="left"/>
      <w:pPr>
        <w:ind w:left="360" w:hanging="360"/>
      </w:pPr>
    </w:lvl>
    <w:lvl w:ilvl="1" w:tentative="0">
      <w:start w:val="6"/>
      <w:numFmt w:val="decimal"/>
      <w:pStyle w:val="259"/>
      <w:lvlText w:val="%1.%2"/>
      <w:lvlJc w:val="left"/>
      <w:pPr>
        <w:ind w:left="840" w:hanging="360"/>
      </w:pPr>
    </w:lvl>
    <w:lvl w:ilvl="2" w:tentative="0">
      <w:start w:val="1"/>
      <w:numFmt w:val="decimal"/>
      <w:lvlText w:val="%1.%2.%3"/>
      <w:lvlJc w:val="left"/>
      <w:pPr>
        <w:ind w:left="1680" w:hanging="720"/>
      </w:pPr>
    </w:lvl>
    <w:lvl w:ilvl="3" w:tentative="0">
      <w:start w:val="1"/>
      <w:numFmt w:val="decimal"/>
      <w:lvlText w:val="%1.%2.%3.%4"/>
      <w:lvlJc w:val="left"/>
      <w:pPr>
        <w:ind w:left="2520" w:hanging="1080"/>
      </w:pPr>
    </w:lvl>
    <w:lvl w:ilvl="4" w:tentative="0">
      <w:start w:val="1"/>
      <w:numFmt w:val="decimal"/>
      <w:lvlText w:val="%1.%2.%3.%4.%5"/>
      <w:lvlJc w:val="left"/>
      <w:pPr>
        <w:ind w:left="3000" w:hanging="1080"/>
      </w:pPr>
    </w:lvl>
    <w:lvl w:ilvl="5" w:tentative="0">
      <w:start w:val="1"/>
      <w:numFmt w:val="decimal"/>
      <w:lvlText w:val="%1.%2.%3.%4.%5.%6"/>
      <w:lvlJc w:val="left"/>
      <w:pPr>
        <w:ind w:left="3840" w:hanging="1440"/>
      </w:pPr>
    </w:lvl>
    <w:lvl w:ilvl="6" w:tentative="0">
      <w:start w:val="1"/>
      <w:numFmt w:val="decimal"/>
      <w:lvlText w:val="%1.%2.%3.%4.%5.%6.%7"/>
      <w:lvlJc w:val="left"/>
      <w:pPr>
        <w:ind w:left="4320" w:hanging="1440"/>
      </w:pPr>
    </w:lvl>
    <w:lvl w:ilvl="7" w:tentative="0">
      <w:start w:val="1"/>
      <w:numFmt w:val="decimal"/>
      <w:lvlText w:val="%1.%2.%3.%4.%5.%6.%7.%8"/>
      <w:lvlJc w:val="left"/>
      <w:pPr>
        <w:ind w:left="5160" w:hanging="1800"/>
      </w:pPr>
    </w:lvl>
    <w:lvl w:ilvl="8" w:tentative="0">
      <w:start w:val="1"/>
      <w:numFmt w:val="decimal"/>
      <w:lvlText w:val="%1.%2.%3.%4.%5.%6.%7.%8.%9"/>
      <w:lvlJc w:val="left"/>
      <w:pPr>
        <w:ind w:left="6000" w:hanging="2160"/>
      </w:pPr>
    </w:lvl>
  </w:abstractNum>
  <w:abstractNum w:abstractNumId="8">
    <w:nsid w:val="473034A9"/>
    <w:multiLevelType w:val="multilevel"/>
    <w:tmpl w:val="473034A9"/>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pStyle w:val="215"/>
      <w:lvlText w:val="-"/>
      <w:lvlJc w:val="left"/>
      <w:pPr>
        <w:tabs>
          <w:tab w:val="left" w:pos="1260"/>
        </w:tabs>
        <w:ind w:left="1260" w:hanging="420"/>
      </w:pPr>
      <w:rPr>
        <w:rFonts w:hint="eastAsia" w:ascii="Batang" w:hAnsi="Batang" w:eastAsia="Batang"/>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9">
    <w:nsid w:val="4AB30CBB"/>
    <w:multiLevelType w:val="multilevel"/>
    <w:tmpl w:val="4AB30CBB"/>
    <w:lvl w:ilvl="0" w:tentative="0">
      <w:start w:val="1"/>
      <w:numFmt w:val="bullet"/>
      <w:pStyle w:val="155"/>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50701B1B"/>
    <w:multiLevelType w:val="multilevel"/>
    <w:tmpl w:val="50701B1B"/>
    <w:lvl w:ilvl="0" w:tentative="0">
      <w:start w:val="1"/>
      <w:numFmt w:val="chineseCountingThousand"/>
      <w:lvlText w:val="%1、"/>
      <w:lvlJc w:val="left"/>
      <w:pPr>
        <w:ind w:left="0" w:firstLine="0"/>
      </w:pPr>
      <w:rPr>
        <w:rFonts w:hint="default"/>
        <w:b/>
        <w:i w:val="0"/>
        <w:color w:val="auto"/>
        <w:sz w:val="32"/>
        <w:szCs w:val="32"/>
      </w:rPr>
    </w:lvl>
    <w:lvl w:ilvl="1" w:tentative="0">
      <w:start w:val="1"/>
      <w:numFmt w:val="decimal"/>
      <w:pStyle w:val="370"/>
      <w:lvlText w:val="%2"/>
      <w:lvlJc w:val="left"/>
      <w:pPr>
        <w:tabs>
          <w:tab w:val="left" w:pos="3402"/>
        </w:tabs>
        <w:ind w:left="-680" w:firstLine="680"/>
      </w:pPr>
      <w:rPr>
        <w:rFonts w:hint="eastAsia" w:ascii="Times New Roman" w:hAnsi="Times New Roman"/>
        <w:b w:val="0"/>
        <w:bCs w:val="0"/>
        <w:i w:val="0"/>
        <w:iCs w:val="0"/>
        <w:caps w:val="0"/>
        <w:smallCaps w:val="0"/>
        <w:strike w:val="0"/>
        <w:dstrike w:val="0"/>
        <w:vanish w:val="0"/>
        <w:spacing w:val="0"/>
        <w:position w:val="0"/>
        <w:u w:val="none"/>
        <w:vertAlign w:val="baseline"/>
      </w:rPr>
    </w:lvl>
    <w:lvl w:ilvl="2" w:tentative="0">
      <w:start w:val="1"/>
      <w:numFmt w:val="decimal"/>
      <w:pStyle w:val="371"/>
      <w:lvlText w:val="%2.%3"/>
      <w:lvlJc w:val="left"/>
      <w:pPr>
        <w:ind w:left="0" w:firstLine="284"/>
      </w:pPr>
      <w:rPr>
        <w:rFonts w:hint="eastAsia" w:ascii="Times New Roman" w:hAnsi="Times New Roman"/>
        <w:b w:val="0"/>
        <w:bCs w:val="0"/>
        <w:i w:val="0"/>
        <w:iCs w:val="0"/>
        <w:caps w:val="0"/>
        <w:smallCaps w:val="0"/>
        <w:strike w:val="0"/>
        <w:dstrike w:val="0"/>
        <w:vanish w:val="0"/>
        <w:spacing w:val="0"/>
        <w:position w:val="0"/>
        <w:u w:val="none"/>
        <w:vertAlign w:val="baseline"/>
      </w:rPr>
    </w:lvl>
    <w:lvl w:ilvl="3" w:tentative="0">
      <w:start w:val="1"/>
      <w:numFmt w:val="decimal"/>
      <w:lvlText w:val="%2.%3.%4"/>
      <w:lvlJc w:val="left"/>
      <w:pPr>
        <w:ind w:left="0" w:firstLine="1276"/>
      </w:pPr>
      <w:rPr>
        <w:rFonts w:hint="eastAsia" w:ascii="Times New Roman" w:hAnsi="Times New Roman"/>
        <w:b w:val="0"/>
        <w:bCs w:val="0"/>
        <w:i w:val="0"/>
        <w:iCs w:val="0"/>
        <w:caps w:val="0"/>
        <w:smallCaps w:val="0"/>
        <w:strike w:val="0"/>
        <w:dstrike w:val="0"/>
        <w:vanish w:val="0"/>
        <w:spacing w:val="0"/>
        <w:position w:val="0"/>
        <w:u w:val="none"/>
        <w:vertAlign w:val="baseline"/>
      </w:rPr>
    </w:lvl>
    <w:lvl w:ilvl="4" w:tentative="0">
      <w:start w:val="1"/>
      <w:numFmt w:val="decimal"/>
      <w:lvlText w:val="%2.%3.%4.%5"/>
      <w:lvlJc w:val="left"/>
      <w:pPr>
        <w:ind w:left="0" w:firstLine="1701"/>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519C1EA1"/>
    <w:multiLevelType w:val="multilevel"/>
    <w:tmpl w:val="519C1EA1"/>
    <w:lvl w:ilvl="0" w:tentative="0">
      <w:start w:val="1"/>
      <w:numFmt w:val="chineseCountingThousand"/>
      <w:suff w:val="space"/>
      <w:lvlText w:val="第%1章"/>
      <w:lvlJc w:val="left"/>
      <w:pPr>
        <w:ind w:left="425" w:hanging="425"/>
      </w:pPr>
      <w:rPr>
        <w:rFonts w:hint="eastAsia"/>
      </w:rPr>
    </w:lvl>
    <w:lvl w:ilvl="1" w:tentative="0">
      <w:start w:val="1"/>
      <w:numFmt w:val="decimal"/>
      <w:pStyle w:val="198"/>
      <w:suff w:val="nothing"/>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2">
    <w:nsid w:val="52251E33"/>
    <w:multiLevelType w:val="multilevel"/>
    <w:tmpl w:val="52251E33"/>
    <w:lvl w:ilvl="0" w:tentative="0">
      <w:start w:val="9"/>
      <w:numFmt w:val="decimal"/>
      <w:lvlText w:val="%1"/>
      <w:lvlJc w:val="left"/>
      <w:pPr>
        <w:tabs>
          <w:tab w:val="left" w:pos="844"/>
        </w:tabs>
        <w:ind w:left="844" w:hanging="425"/>
      </w:pPr>
    </w:lvl>
    <w:lvl w:ilvl="1" w:tentative="0">
      <w:start w:val="1"/>
      <w:numFmt w:val="decimal"/>
      <w:lvlText w:val="%1.%2"/>
      <w:lvlJc w:val="left"/>
      <w:pPr>
        <w:tabs>
          <w:tab w:val="left" w:pos="-1"/>
        </w:tabs>
        <w:ind w:left="-1" w:firstLine="0"/>
      </w:pPr>
    </w:lvl>
    <w:lvl w:ilvl="2" w:tentative="0">
      <w:start w:val="1"/>
      <w:numFmt w:val="decimal"/>
      <w:pStyle w:val="219"/>
      <w:lvlText w:val="%1.%2.%3"/>
      <w:lvlJc w:val="left"/>
      <w:pPr>
        <w:tabs>
          <w:tab w:val="left" w:pos="0"/>
        </w:tabs>
        <w:ind w:left="0" w:firstLine="0"/>
      </w:pPr>
    </w:lvl>
    <w:lvl w:ilvl="3" w:tentative="0">
      <w:start w:val="1"/>
      <w:numFmt w:val="decimal"/>
      <w:lvlText w:val="%1.%2.%3.%4"/>
      <w:lvlJc w:val="left"/>
      <w:pPr>
        <w:tabs>
          <w:tab w:val="left" w:pos="3135"/>
        </w:tabs>
        <w:ind w:left="2403" w:hanging="708"/>
      </w:pPr>
    </w:lvl>
    <w:lvl w:ilvl="4" w:tentative="0">
      <w:start w:val="1"/>
      <w:numFmt w:val="decimal"/>
      <w:lvlText w:val="%1.%2.%3.%4.%5"/>
      <w:lvlJc w:val="left"/>
      <w:pPr>
        <w:tabs>
          <w:tab w:val="left" w:pos="3920"/>
        </w:tabs>
        <w:ind w:left="2970" w:hanging="850"/>
      </w:pPr>
    </w:lvl>
    <w:lvl w:ilvl="5" w:tentative="0">
      <w:start w:val="1"/>
      <w:numFmt w:val="decimal"/>
      <w:lvlText w:val="%1.%2.%3.%4.%5.%6"/>
      <w:lvlJc w:val="left"/>
      <w:pPr>
        <w:tabs>
          <w:tab w:val="left" w:pos="4345"/>
        </w:tabs>
        <w:ind w:left="3679" w:hanging="1134"/>
      </w:pPr>
    </w:lvl>
    <w:lvl w:ilvl="6" w:tentative="0">
      <w:start w:val="1"/>
      <w:numFmt w:val="decimal"/>
      <w:lvlText w:val="%1.%2.%3.%4.%5.%6.%7"/>
      <w:lvlJc w:val="left"/>
      <w:pPr>
        <w:tabs>
          <w:tab w:val="left" w:pos="5130"/>
        </w:tabs>
        <w:ind w:left="4246" w:hanging="1276"/>
      </w:pPr>
    </w:lvl>
    <w:lvl w:ilvl="7" w:tentative="0">
      <w:start w:val="1"/>
      <w:numFmt w:val="decimal"/>
      <w:lvlText w:val="%1.%2.%3.%4.%5.%6.%7.%8"/>
      <w:lvlJc w:val="left"/>
      <w:pPr>
        <w:tabs>
          <w:tab w:val="left" w:pos="5915"/>
        </w:tabs>
        <w:ind w:left="4813" w:hanging="1418"/>
      </w:pPr>
    </w:lvl>
    <w:lvl w:ilvl="8" w:tentative="0">
      <w:start w:val="1"/>
      <w:numFmt w:val="decimal"/>
      <w:lvlText w:val="%1.%2.%3.%4.%5.%6.%7.%8.%9"/>
      <w:lvlJc w:val="left"/>
      <w:pPr>
        <w:tabs>
          <w:tab w:val="left" w:pos="6701"/>
        </w:tabs>
        <w:ind w:left="5521" w:hanging="1700"/>
      </w:pPr>
    </w:lvl>
  </w:abstractNum>
  <w:abstractNum w:abstractNumId="13">
    <w:nsid w:val="5FC26BF2"/>
    <w:multiLevelType w:val="multilevel"/>
    <w:tmpl w:val="5FC26BF2"/>
    <w:lvl w:ilvl="0" w:tentative="0">
      <w:start w:val="1"/>
      <w:numFmt w:val="decimal"/>
      <w:lvlText w:val="（%1）"/>
      <w:lvlJc w:val="left"/>
      <w:pPr>
        <w:tabs>
          <w:tab w:val="left" w:pos="1140"/>
        </w:tabs>
        <w:ind w:left="1140" w:hanging="720"/>
      </w:pPr>
      <w:rPr>
        <w:rFonts w:eastAsia="宋体"/>
        <w:kern w:val="2"/>
        <w:sz w:val="21"/>
      </w:rPr>
    </w:lvl>
    <w:lvl w:ilvl="1" w:tentative="0">
      <w:start w:val="1"/>
      <w:numFmt w:val="lowerLetter"/>
      <w:pStyle w:val="319"/>
      <w:lvlText w:val="%2)"/>
      <w:lvlJc w:val="left"/>
      <w:pPr>
        <w:tabs>
          <w:tab w:val="left" w:pos="1260"/>
        </w:tabs>
        <w:ind w:left="1260" w:hanging="420"/>
      </w:pPr>
    </w:lvl>
    <w:lvl w:ilvl="2" w:tentative="0">
      <w:start w:val="1"/>
      <w:numFmt w:val="lowerRoman"/>
      <w:pStyle w:val="318"/>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4">
    <w:nsid w:val="720E59C9"/>
    <w:multiLevelType w:val="multilevel"/>
    <w:tmpl w:val="720E59C9"/>
    <w:lvl w:ilvl="0" w:tentative="0">
      <w:start w:val="1"/>
      <w:numFmt w:val="bullet"/>
      <w:pStyle w:val="188"/>
      <w:lvlText w:val=""/>
      <w:lvlJc w:val="left"/>
      <w:pPr>
        <w:tabs>
          <w:tab w:val="left" w:pos="420"/>
        </w:tabs>
        <w:ind w:left="420" w:hanging="420"/>
      </w:pPr>
      <w:rPr>
        <w:rFonts w:hint="default" w:ascii="Wingdings" w:hAnsi="Wingdings"/>
      </w:rPr>
    </w:lvl>
    <w:lvl w:ilvl="1" w:tentative="0">
      <w:start w:val="11"/>
      <w:numFmt w:val="bullet"/>
      <w:lvlText w:val="◆"/>
      <w:lvlJc w:val="left"/>
      <w:pPr>
        <w:tabs>
          <w:tab w:val="left" w:pos="1800"/>
        </w:tabs>
        <w:ind w:left="1800" w:hanging="360"/>
      </w:pPr>
      <w:rPr>
        <w:rFonts w:hint="default" w:ascii="Times New Roman" w:hAnsi="Times New Roman" w:eastAsia="宋体" w:cs="Times New Roman"/>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Times New Roman"/>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Times New Roman"/>
      </w:rPr>
    </w:lvl>
    <w:lvl w:ilvl="8" w:tentative="0">
      <w:start w:val="1"/>
      <w:numFmt w:val="bullet"/>
      <w:lvlText w:val=""/>
      <w:lvlJc w:val="left"/>
      <w:pPr>
        <w:tabs>
          <w:tab w:val="left" w:pos="6840"/>
        </w:tabs>
        <w:ind w:left="6840" w:hanging="360"/>
      </w:pPr>
      <w:rPr>
        <w:rFonts w:hint="default" w:ascii="Wingdings" w:hAnsi="Wingdings"/>
      </w:rPr>
    </w:lvl>
  </w:abstractNum>
  <w:abstractNum w:abstractNumId="15">
    <w:nsid w:val="767233DA"/>
    <w:multiLevelType w:val="multilevel"/>
    <w:tmpl w:val="767233DA"/>
    <w:lvl w:ilvl="0" w:tentative="0">
      <w:start w:val="1"/>
      <w:numFmt w:val="decimal"/>
      <w:pStyle w:val="108"/>
      <w:lvlText w:val="%1."/>
      <w:lvlJc w:val="left"/>
      <w:pPr>
        <w:ind w:left="425" w:hanging="425"/>
      </w:pPr>
      <w:rPr>
        <w:rFonts w:hint="eastAsia"/>
      </w:rPr>
    </w:lvl>
    <w:lvl w:ilvl="1" w:tentative="0">
      <w:start w:val="1"/>
      <w:numFmt w:val="bullet"/>
      <w:lvlText w:val=""/>
      <w:lvlJc w:val="left"/>
      <w:pPr>
        <w:ind w:left="567" w:hanging="567"/>
      </w:pPr>
      <w:rPr>
        <w:rFonts w:hint="default" w:ascii="Wingdings" w:hAnsi="Wingdings"/>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tentative="0">
      <w:start w:val="1"/>
      <w:numFmt w:val="decimal"/>
      <w:pStyle w:val="110"/>
      <w:lvlText w:val="%1.%2.%3."/>
      <w:lvlJc w:val="left"/>
      <w:pPr>
        <w:ind w:left="709" w:hanging="709"/>
      </w:pPr>
      <w:rPr>
        <w:rFonts w:hint="eastAsia"/>
      </w:rPr>
    </w:lvl>
    <w:lvl w:ilvl="3" w:tentative="0">
      <w:start w:val="1"/>
      <w:numFmt w:val="decimal"/>
      <w:pStyle w:val="111"/>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4"/>
  </w:num>
  <w:num w:numId="2">
    <w:abstractNumId w:val="0"/>
  </w:num>
  <w:num w:numId="3">
    <w:abstractNumId w:val="1"/>
  </w:num>
  <w:num w:numId="4">
    <w:abstractNumId w:val="2"/>
  </w:num>
  <w:num w:numId="5">
    <w:abstractNumId w:val="15"/>
  </w:num>
  <w:num w:numId="6">
    <w:abstractNumId w:val="3"/>
  </w:num>
  <w:num w:numId="7">
    <w:abstractNumId w:val="9"/>
  </w:num>
  <w:num w:numId="8">
    <w:abstractNumId w:val="14"/>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8"/>
  </w:num>
  <w:num w:numId="12">
    <w:abstractNumId w:val="1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3"/>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1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hideSpellingErrors/>
  <w:documentProtection w:enforcement="0"/>
  <w:defaultTabStop w:val="420"/>
  <w:drawingGridHorizontalSpacing w:val="140"/>
  <w:drawingGridVerticalSpacing w:val="381"/>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5MjVlNTM1NTlmNmI5OTMyZTA1NWM1MDdhMzVlZDUifQ=="/>
  </w:docVars>
  <w:rsids>
    <w:rsidRoot w:val="00394DCF"/>
    <w:rsid w:val="0000023A"/>
    <w:rsid w:val="000004A4"/>
    <w:rsid w:val="00000F1B"/>
    <w:rsid w:val="000031F4"/>
    <w:rsid w:val="0000333C"/>
    <w:rsid w:val="00004EB5"/>
    <w:rsid w:val="00005350"/>
    <w:rsid w:val="000058BC"/>
    <w:rsid w:val="00006609"/>
    <w:rsid w:val="00007423"/>
    <w:rsid w:val="00007A44"/>
    <w:rsid w:val="00015D6B"/>
    <w:rsid w:val="0002018A"/>
    <w:rsid w:val="00020346"/>
    <w:rsid w:val="000220A6"/>
    <w:rsid w:val="00022403"/>
    <w:rsid w:val="00026323"/>
    <w:rsid w:val="00026CB9"/>
    <w:rsid w:val="00026D56"/>
    <w:rsid w:val="0002733E"/>
    <w:rsid w:val="00027E67"/>
    <w:rsid w:val="000304E1"/>
    <w:rsid w:val="00030E4D"/>
    <w:rsid w:val="00031207"/>
    <w:rsid w:val="00031F22"/>
    <w:rsid w:val="00032372"/>
    <w:rsid w:val="0003391C"/>
    <w:rsid w:val="000357EE"/>
    <w:rsid w:val="00036BBA"/>
    <w:rsid w:val="00037FF2"/>
    <w:rsid w:val="00040ED1"/>
    <w:rsid w:val="00046234"/>
    <w:rsid w:val="00046363"/>
    <w:rsid w:val="00046AF7"/>
    <w:rsid w:val="00047D9B"/>
    <w:rsid w:val="00051D7D"/>
    <w:rsid w:val="00052EC4"/>
    <w:rsid w:val="00054C20"/>
    <w:rsid w:val="00054D9D"/>
    <w:rsid w:val="0005650E"/>
    <w:rsid w:val="00057264"/>
    <w:rsid w:val="000621C4"/>
    <w:rsid w:val="00062C6C"/>
    <w:rsid w:val="000658AE"/>
    <w:rsid w:val="00066BDB"/>
    <w:rsid w:val="00066D26"/>
    <w:rsid w:val="000705CF"/>
    <w:rsid w:val="0007220F"/>
    <w:rsid w:val="0007472D"/>
    <w:rsid w:val="00074A4E"/>
    <w:rsid w:val="000750E2"/>
    <w:rsid w:val="00075AD8"/>
    <w:rsid w:val="00076F0B"/>
    <w:rsid w:val="00080000"/>
    <w:rsid w:val="00085A8C"/>
    <w:rsid w:val="00087D85"/>
    <w:rsid w:val="0009462B"/>
    <w:rsid w:val="000A0021"/>
    <w:rsid w:val="000A0859"/>
    <w:rsid w:val="000A4FBC"/>
    <w:rsid w:val="000A53E1"/>
    <w:rsid w:val="000A56D5"/>
    <w:rsid w:val="000A5ECD"/>
    <w:rsid w:val="000B180F"/>
    <w:rsid w:val="000B52E7"/>
    <w:rsid w:val="000B5854"/>
    <w:rsid w:val="000B75D7"/>
    <w:rsid w:val="000B79DF"/>
    <w:rsid w:val="000C0AB9"/>
    <w:rsid w:val="000C120C"/>
    <w:rsid w:val="000C2243"/>
    <w:rsid w:val="000C33AA"/>
    <w:rsid w:val="000C69B6"/>
    <w:rsid w:val="000D12E5"/>
    <w:rsid w:val="000D1320"/>
    <w:rsid w:val="000D1A73"/>
    <w:rsid w:val="000D1BAC"/>
    <w:rsid w:val="000D3FD0"/>
    <w:rsid w:val="000D404E"/>
    <w:rsid w:val="000D7215"/>
    <w:rsid w:val="000E06D0"/>
    <w:rsid w:val="000E2509"/>
    <w:rsid w:val="000E2735"/>
    <w:rsid w:val="000E3F08"/>
    <w:rsid w:val="000E43EA"/>
    <w:rsid w:val="000F10D9"/>
    <w:rsid w:val="000F350A"/>
    <w:rsid w:val="000F48D1"/>
    <w:rsid w:val="000F55DA"/>
    <w:rsid w:val="000F5995"/>
    <w:rsid w:val="001002CE"/>
    <w:rsid w:val="0010166F"/>
    <w:rsid w:val="00102764"/>
    <w:rsid w:val="00102DB0"/>
    <w:rsid w:val="0010445A"/>
    <w:rsid w:val="001058A4"/>
    <w:rsid w:val="0010611F"/>
    <w:rsid w:val="0010632C"/>
    <w:rsid w:val="00107C13"/>
    <w:rsid w:val="00113648"/>
    <w:rsid w:val="00113848"/>
    <w:rsid w:val="00116843"/>
    <w:rsid w:val="00116A97"/>
    <w:rsid w:val="0011769D"/>
    <w:rsid w:val="001253A0"/>
    <w:rsid w:val="00125AB7"/>
    <w:rsid w:val="00125B4C"/>
    <w:rsid w:val="00125EE7"/>
    <w:rsid w:val="0012780B"/>
    <w:rsid w:val="00130764"/>
    <w:rsid w:val="001317B9"/>
    <w:rsid w:val="00131DBD"/>
    <w:rsid w:val="001321A9"/>
    <w:rsid w:val="00132313"/>
    <w:rsid w:val="00132A56"/>
    <w:rsid w:val="00133E4B"/>
    <w:rsid w:val="001351FE"/>
    <w:rsid w:val="0013656B"/>
    <w:rsid w:val="001377D4"/>
    <w:rsid w:val="00142811"/>
    <w:rsid w:val="00142B7A"/>
    <w:rsid w:val="00142C9E"/>
    <w:rsid w:val="00144CCB"/>
    <w:rsid w:val="00147A8C"/>
    <w:rsid w:val="00152440"/>
    <w:rsid w:val="00154CED"/>
    <w:rsid w:val="0015551B"/>
    <w:rsid w:val="001608D6"/>
    <w:rsid w:val="0016111F"/>
    <w:rsid w:val="00161279"/>
    <w:rsid w:val="001612A9"/>
    <w:rsid w:val="001641B6"/>
    <w:rsid w:val="0016449F"/>
    <w:rsid w:val="00165763"/>
    <w:rsid w:val="00165884"/>
    <w:rsid w:val="001702FF"/>
    <w:rsid w:val="001709A8"/>
    <w:rsid w:val="00170E78"/>
    <w:rsid w:val="00172935"/>
    <w:rsid w:val="001733A5"/>
    <w:rsid w:val="00181BFC"/>
    <w:rsid w:val="00181EBB"/>
    <w:rsid w:val="00192A5B"/>
    <w:rsid w:val="0019390C"/>
    <w:rsid w:val="00194E53"/>
    <w:rsid w:val="001968CA"/>
    <w:rsid w:val="001A1ABB"/>
    <w:rsid w:val="001A37D0"/>
    <w:rsid w:val="001A3C28"/>
    <w:rsid w:val="001A43AA"/>
    <w:rsid w:val="001A5959"/>
    <w:rsid w:val="001A5B28"/>
    <w:rsid w:val="001A7DFC"/>
    <w:rsid w:val="001B00DE"/>
    <w:rsid w:val="001B03EB"/>
    <w:rsid w:val="001B1B8B"/>
    <w:rsid w:val="001B2C78"/>
    <w:rsid w:val="001B3344"/>
    <w:rsid w:val="001B3FF9"/>
    <w:rsid w:val="001B48E9"/>
    <w:rsid w:val="001B55EB"/>
    <w:rsid w:val="001B68B1"/>
    <w:rsid w:val="001C355C"/>
    <w:rsid w:val="001C427C"/>
    <w:rsid w:val="001C56BA"/>
    <w:rsid w:val="001C7F2D"/>
    <w:rsid w:val="001D3252"/>
    <w:rsid w:val="001D48DC"/>
    <w:rsid w:val="001D5506"/>
    <w:rsid w:val="001D7726"/>
    <w:rsid w:val="001E0441"/>
    <w:rsid w:val="001E085C"/>
    <w:rsid w:val="001E1242"/>
    <w:rsid w:val="001E23B5"/>
    <w:rsid w:val="001E4BB1"/>
    <w:rsid w:val="001E51C8"/>
    <w:rsid w:val="001F06D3"/>
    <w:rsid w:val="001F214B"/>
    <w:rsid w:val="001F236B"/>
    <w:rsid w:val="001F3D2F"/>
    <w:rsid w:val="001F437F"/>
    <w:rsid w:val="001F4F9E"/>
    <w:rsid w:val="001F5434"/>
    <w:rsid w:val="001F75BA"/>
    <w:rsid w:val="0020115B"/>
    <w:rsid w:val="00201668"/>
    <w:rsid w:val="0020171C"/>
    <w:rsid w:val="002017E7"/>
    <w:rsid w:val="00203ABC"/>
    <w:rsid w:val="00204E99"/>
    <w:rsid w:val="00206C18"/>
    <w:rsid w:val="0021103A"/>
    <w:rsid w:val="00212CF7"/>
    <w:rsid w:val="002130ED"/>
    <w:rsid w:val="002139E6"/>
    <w:rsid w:val="002144AD"/>
    <w:rsid w:val="00215400"/>
    <w:rsid w:val="00215684"/>
    <w:rsid w:val="002171FC"/>
    <w:rsid w:val="00217290"/>
    <w:rsid w:val="00220276"/>
    <w:rsid w:val="0022184A"/>
    <w:rsid w:val="00225A78"/>
    <w:rsid w:val="002261DE"/>
    <w:rsid w:val="002264CD"/>
    <w:rsid w:val="00233031"/>
    <w:rsid w:val="002336BD"/>
    <w:rsid w:val="0023545F"/>
    <w:rsid w:val="00235716"/>
    <w:rsid w:val="00236679"/>
    <w:rsid w:val="00240909"/>
    <w:rsid w:val="00240951"/>
    <w:rsid w:val="002419D0"/>
    <w:rsid w:val="00241C7D"/>
    <w:rsid w:val="002449A8"/>
    <w:rsid w:val="00250CF4"/>
    <w:rsid w:val="0025123B"/>
    <w:rsid w:val="00251255"/>
    <w:rsid w:val="00252E55"/>
    <w:rsid w:val="002550F9"/>
    <w:rsid w:val="00256F67"/>
    <w:rsid w:val="00257058"/>
    <w:rsid w:val="00257E43"/>
    <w:rsid w:val="00260263"/>
    <w:rsid w:val="00264A82"/>
    <w:rsid w:val="00265FDE"/>
    <w:rsid w:val="00266907"/>
    <w:rsid w:val="00266DCD"/>
    <w:rsid w:val="0027002B"/>
    <w:rsid w:val="0027245C"/>
    <w:rsid w:val="00272955"/>
    <w:rsid w:val="0027357F"/>
    <w:rsid w:val="00274C6B"/>
    <w:rsid w:val="00276E26"/>
    <w:rsid w:val="0028172B"/>
    <w:rsid w:val="002859CE"/>
    <w:rsid w:val="002871AB"/>
    <w:rsid w:val="002925F3"/>
    <w:rsid w:val="00295B79"/>
    <w:rsid w:val="002A27C0"/>
    <w:rsid w:val="002A32C3"/>
    <w:rsid w:val="002A4C79"/>
    <w:rsid w:val="002A7CC8"/>
    <w:rsid w:val="002A7F79"/>
    <w:rsid w:val="002B016A"/>
    <w:rsid w:val="002B1F4E"/>
    <w:rsid w:val="002B362D"/>
    <w:rsid w:val="002B6E3F"/>
    <w:rsid w:val="002B744D"/>
    <w:rsid w:val="002B78F8"/>
    <w:rsid w:val="002C0012"/>
    <w:rsid w:val="002C0401"/>
    <w:rsid w:val="002C11FA"/>
    <w:rsid w:val="002C30D8"/>
    <w:rsid w:val="002C32DD"/>
    <w:rsid w:val="002C34A9"/>
    <w:rsid w:val="002C3C02"/>
    <w:rsid w:val="002C4B0B"/>
    <w:rsid w:val="002C5732"/>
    <w:rsid w:val="002C5DDE"/>
    <w:rsid w:val="002C5F11"/>
    <w:rsid w:val="002C65DD"/>
    <w:rsid w:val="002C7637"/>
    <w:rsid w:val="002C7A69"/>
    <w:rsid w:val="002D173D"/>
    <w:rsid w:val="002D6363"/>
    <w:rsid w:val="002E021E"/>
    <w:rsid w:val="002E13C4"/>
    <w:rsid w:val="002E1DCF"/>
    <w:rsid w:val="002E1F83"/>
    <w:rsid w:val="002E3B3D"/>
    <w:rsid w:val="002E3FF3"/>
    <w:rsid w:val="002E59B5"/>
    <w:rsid w:val="002E5B8C"/>
    <w:rsid w:val="002E5FBD"/>
    <w:rsid w:val="002F1DD2"/>
    <w:rsid w:val="002F2763"/>
    <w:rsid w:val="002F4D7D"/>
    <w:rsid w:val="002F503C"/>
    <w:rsid w:val="002F5A17"/>
    <w:rsid w:val="00300367"/>
    <w:rsid w:val="003003FD"/>
    <w:rsid w:val="00301E1C"/>
    <w:rsid w:val="00304DEA"/>
    <w:rsid w:val="00310A26"/>
    <w:rsid w:val="0031752F"/>
    <w:rsid w:val="00320C28"/>
    <w:rsid w:val="0032601D"/>
    <w:rsid w:val="003301B4"/>
    <w:rsid w:val="00330497"/>
    <w:rsid w:val="003319E6"/>
    <w:rsid w:val="003324A1"/>
    <w:rsid w:val="00332CCB"/>
    <w:rsid w:val="0033782D"/>
    <w:rsid w:val="003378DB"/>
    <w:rsid w:val="0034271C"/>
    <w:rsid w:val="00343040"/>
    <w:rsid w:val="00344C18"/>
    <w:rsid w:val="00345E48"/>
    <w:rsid w:val="00346358"/>
    <w:rsid w:val="00350115"/>
    <w:rsid w:val="00355C68"/>
    <w:rsid w:val="00356B24"/>
    <w:rsid w:val="00356CEE"/>
    <w:rsid w:val="00357F2A"/>
    <w:rsid w:val="0036038A"/>
    <w:rsid w:val="00360543"/>
    <w:rsid w:val="00360710"/>
    <w:rsid w:val="00362D85"/>
    <w:rsid w:val="00363F21"/>
    <w:rsid w:val="00364490"/>
    <w:rsid w:val="00365844"/>
    <w:rsid w:val="00370226"/>
    <w:rsid w:val="00371D82"/>
    <w:rsid w:val="00372044"/>
    <w:rsid w:val="00372689"/>
    <w:rsid w:val="003728CD"/>
    <w:rsid w:val="00373C68"/>
    <w:rsid w:val="00373CF6"/>
    <w:rsid w:val="003750F5"/>
    <w:rsid w:val="00376427"/>
    <w:rsid w:val="00376D48"/>
    <w:rsid w:val="00377C1D"/>
    <w:rsid w:val="00377D0D"/>
    <w:rsid w:val="00383BB6"/>
    <w:rsid w:val="0039089B"/>
    <w:rsid w:val="003912F6"/>
    <w:rsid w:val="00391D37"/>
    <w:rsid w:val="003923F9"/>
    <w:rsid w:val="003939A9"/>
    <w:rsid w:val="00394726"/>
    <w:rsid w:val="00394DCF"/>
    <w:rsid w:val="00395050"/>
    <w:rsid w:val="00395808"/>
    <w:rsid w:val="00396A61"/>
    <w:rsid w:val="003971A0"/>
    <w:rsid w:val="003A017F"/>
    <w:rsid w:val="003A0AF9"/>
    <w:rsid w:val="003A0C79"/>
    <w:rsid w:val="003A0E93"/>
    <w:rsid w:val="003A2869"/>
    <w:rsid w:val="003A44AD"/>
    <w:rsid w:val="003A5B51"/>
    <w:rsid w:val="003A5F89"/>
    <w:rsid w:val="003A7F79"/>
    <w:rsid w:val="003B284D"/>
    <w:rsid w:val="003B4608"/>
    <w:rsid w:val="003B4A65"/>
    <w:rsid w:val="003B4EEB"/>
    <w:rsid w:val="003B4FB7"/>
    <w:rsid w:val="003B66DA"/>
    <w:rsid w:val="003B7EDE"/>
    <w:rsid w:val="003B7FAA"/>
    <w:rsid w:val="003C1110"/>
    <w:rsid w:val="003C1EA2"/>
    <w:rsid w:val="003C1EA8"/>
    <w:rsid w:val="003C3516"/>
    <w:rsid w:val="003C4B00"/>
    <w:rsid w:val="003C5B3C"/>
    <w:rsid w:val="003C6259"/>
    <w:rsid w:val="003C7EB4"/>
    <w:rsid w:val="003D0125"/>
    <w:rsid w:val="003D1F92"/>
    <w:rsid w:val="003D347C"/>
    <w:rsid w:val="003D3AEC"/>
    <w:rsid w:val="003D5627"/>
    <w:rsid w:val="003D565E"/>
    <w:rsid w:val="003D7D29"/>
    <w:rsid w:val="003E05FA"/>
    <w:rsid w:val="003E10E6"/>
    <w:rsid w:val="003E1661"/>
    <w:rsid w:val="003E276D"/>
    <w:rsid w:val="003E37E6"/>
    <w:rsid w:val="003E54EC"/>
    <w:rsid w:val="003E6404"/>
    <w:rsid w:val="003F3AA3"/>
    <w:rsid w:val="003F4A18"/>
    <w:rsid w:val="003F5073"/>
    <w:rsid w:val="003F6553"/>
    <w:rsid w:val="003F6726"/>
    <w:rsid w:val="00400DB9"/>
    <w:rsid w:val="00401D0E"/>
    <w:rsid w:val="004035BA"/>
    <w:rsid w:val="00404621"/>
    <w:rsid w:val="0040477C"/>
    <w:rsid w:val="004127C8"/>
    <w:rsid w:val="00413A7D"/>
    <w:rsid w:val="00415296"/>
    <w:rsid w:val="00416254"/>
    <w:rsid w:val="004171CB"/>
    <w:rsid w:val="004176F9"/>
    <w:rsid w:val="004200D1"/>
    <w:rsid w:val="00422FEE"/>
    <w:rsid w:val="00423A92"/>
    <w:rsid w:val="0042500C"/>
    <w:rsid w:val="00425481"/>
    <w:rsid w:val="004254F1"/>
    <w:rsid w:val="004256BE"/>
    <w:rsid w:val="00436309"/>
    <w:rsid w:val="00437041"/>
    <w:rsid w:val="004424FD"/>
    <w:rsid w:val="00442D87"/>
    <w:rsid w:val="00445669"/>
    <w:rsid w:val="00446B87"/>
    <w:rsid w:val="00450779"/>
    <w:rsid w:val="00450C29"/>
    <w:rsid w:val="004565DF"/>
    <w:rsid w:val="00463CA8"/>
    <w:rsid w:val="00464396"/>
    <w:rsid w:val="004654E7"/>
    <w:rsid w:val="00465624"/>
    <w:rsid w:val="0046602D"/>
    <w:rsid w:val="004678A5"/>
    <w:rsid w:val="0046798F"/>
    <w:rsid w:val="00471A30"/>
    <w:rsid w:val="00473530"/>
    <w:rsid w:val="0047428C"/>
    <w:rsid w:val="0047439D"/>
    <w:rsid w:val="00475968"/>
    <w:rsid w:val="00475C7E"/>
    <w:rsid w:val="00477C95"/>
    <w:rsid w:val="00477D2C"/>
    <w:rsid w:val="00480367"/>
    <w:rsid w:val="00480D39"/>
    <w:rsid w:val="00482475"/>
    <w:rsid w:val="004829FC"/>
    <w:rsid w:val="0048677F"/>
    <w:rsid w:val="00486A37"/>
    <w:rsid w:val="004876F7"/>
    <w:rsid w:val="00487D4F"/>
    <w:rsid w:val="004903A1"/>
    <w:rsid w:val="00492200"/>
    <w:rsid w:val="00492C8D"/>
    <w:rsid w:val="00493E6F"/>
    <w:rsid w:val="00493F75"/>
    <w:rsid w:val="00495B65"/>
    <w:rsid w:val="00496C87"/>
    <w:rsid w:val="004A2710"/>
    <w:rsid w:val="004A3A19"/>
    <w:rsid w:val="004A3F60"/>
    <w:rsid w:val="004A4BAA"/>
    <w:rsid w:val="004A5379"/>
    <w:rsid w:val="004A7E10"/>
    <w:rsid w:val="004B0544"/>
    <w:rsid w:val="004B2186"/>
    <w:rsid w:val="004B3184"/>
    <w:rsid w:val="004B3B74"/>
    <w:rsid w:val="004B5AE4"/>
    <w:rsid w:val="004B75AE"/>
    <w:rsid w:val="004C0C50"/>
    <w:rsid w:val="004C239E"/>
    <w:rsid w:val="004C361C"/>
    <w:rsid w:val="004C75DE"/>
    <w:rsid w:val="004C7792"/>
    <w:rsid w:val="004D137B"/>
    <w:rsid w:val="004D190A"/>
    <w:rsid w:val="004D29AB"/>
    <w:rsid w:val="004D2E7C"/>
    <w:rsid w:val="004D38E9"/>
    <w:rsid w:val="004E26C9"/>
    <w:rsid w:val="004E27F1"/>
    <w:rsid w:val="004E2FBE"/>
    <w:rsid w:val="004E4C4C"/>
    <w:rsid w:val="004F059C"/>
    <w:rsid w:val="004F2C38"/>
    <w:rsid w:val="004F6016"/>
    <w:rsid w:val="004F7609"/>
    <w:rsid w:val="004F7E33"/>
    <w:rsid w:val="00505CED"/>
    <w:rsid w:val="00507C49"/>
    <w:rsid w:val="005108B8"/>
    <w:rsid w:val="005118D2"/>
    <w:rsid w:val="005123CC"/>
    <w:rsid w:val="00512BA1"/>
    <w:rsid w:val="00512DC8"/>
    <w:rsid w:val="005147C3"/>
    <w:rsid w:val="00515604"/>
    <w:rsid w:val="00516734"/>
    <w:rsid w:val="00517EB9"/>
    <w:rsid w:val="00520470"/>
    <w:rsid w:val="005223D6"/>
    <w:rsid w:val="005260D0"/>
    <w:rsid w:val="00526321"/>
    <w:rsid w:val="00531172"/>
    <w:rsid w:val="00533B12"/>
    <w:rsid w:val="005352CD"/>
    <w:rsid w:val="005357C1"/>
    <w:rsid w:val="00535FBB"/>
    <w:rsid w:val="005364DF"/>
    <w:rsid w:val="00536678"/>
    <w:rsid w:val="00537D31"/>
    <w:rsid w:val="00540F7B"/>
    <w:rsid w:val="005447E9"/>
    <w:rsid w:val="00544834"/>
    <w:rsid w:val="00547376"/>
    <w:rsid w:val="00547EE9"/>
    <w:rsid w:val="00553022"/>
    <w:rsid w:val="005551D8"/>
    <w:rsid w:val="0055548E"/>
    <w:rsid w:val="00556CE9"/>
    <w:rsid w:val="005660F4"/>
    <w:rsid w:val="00566243"/>
    <w:rsid w:val="00566417"/>
    <w:rsid w:val="0057305E"/>
    <w:rsid w:val="0057510E"/>
    <w:rsid w:val="00575832"/>
    <w:rsid w:val="005761C3"/>
    <w:rsid w:val="00583308"/>
    <w:rsid w:val="00583A6C"/>
    <w:rsid w:val="00587AF3"/>
    <w:rsid w:val="00590694"/>
    <w:rsid w:val="00593E18"/>
    <w:rsid w:val="0059614D"/>
    <w:rsid w:val="005A0EFA"/>
    <w:rsid w:val="005A1A78"/>
    <w:rsid w:val="005A2560"/>
    <w:rsid w:val="005A6CB2"/>
    <w:rsid w:val="005B047A"/>
    <w:rsid w:val="005B092E"/>
    <w:rsid w:val="005B137C"/>
    <w:rsid w:val="005B189C"/>
    <w:rsid w:val="005B28A8"/>
    <w:rsid w:val="005B46B7"/>
    <w:rsid w:val="005B5757"/>
    <w:rsid w:val="005B7E8A"/>
    <w:rsid w:val="005C0A47"/>
    <w:rsid w:val="005C1B8C"/>
    <w:rsid w:val="005C684B"/>
    <w:rsid w:val="005C6B5B"/>
    <w:rsid w:val="005D15D7"/>
    <w:rsid w:val="005D5881"/>
    <w:rsid w:val="005D7B2E"/>
    <w:rsid w:val="005E1878"/>
    <w:rsid w:val="005E1E01"/>
    <w:rsid w:val="005E20DA"/>
    <w:rsid w:val="005E5F60"/>
    <w:rsid w:val="005E755B"/>
    <w:rsid w:val="005F562C"/>
    <w:rsid w:val="005F66F3"/>
    <w:rsid w:val="005F6FFB"/>
    <w:rsid w:val="0060147A"/>
    <w:rsid w:val="0060291F"/>
    <w:rsid w:val="00605DE0"/>
    <w:rsid w:val="006078EA"/>
    <w:rsid w:val="00611427"/>
    <w:rsid w:val="006140B5"/>
    <w:rsid w:val="00614517"/>
    <w:rsid w:val="00616966"/>
    <w:rsid w:val="00616D0D"/>
    <w:rsid w:val="00620373"/>
    <w:rsid w:val="00620515"/>
    <w:rsid w:val="00620ACB"/>
    <w:rsid w:val="0062179C"/>
    <w:rsid w:val="00624E40"/>
    <w:rsid w:val="0062526F"/>
    <w:rsid w:val="006253B7"/>
    <w:rsid w:val="00625833"/>
    <w:rsid w:val="0062593F"/>
    <w:rsid w:val="00626570"/>
    <w:rsid w:val="00627095"/>
    <w:rsid w:val="0063281F"/>
    <w:rsid w:val="00632D3C"/>
    <w:rsid w:val="0063419C"/>
    <w:rsid w:val="00635BD1"/>
    <w:rsid w:val="00637256"/>
    <w:rsid w:val="006413E3"/>
    <w:rsid w:val="006478B9"/>
    <w:rsid w:val="0065077B"/>
    <w:rsid w:val="0065121A"/>
    <w:rsid w:val="00651CF6"/>
    <w:rsid w:val="00652212"/>
    <w:rsid w:val="006523D7"/>
    <w:rsid w:val="00652E6C"/>
    <w:rsid w:val="006531BB"/>
    <w:rsid w:val="00653C6A"/>
    <w:rsid w:val="00654FED"/>
    <w:rsid w:val="00655847"/>
    <w:rsid w:val="006611C8"/>
    <w:rsid w:val="00661BB4"/>
    <w:rsid w:val="0066516D"/>
    <w:rsid w:val="006666E0"/>
    <w:rsid w:val="00666D97"/>
    <w:rsid w:val="00666E84"/>
    <w:rsid w:val="00667E86"/>
    <w:rsid w:val="00670DC5"/>
    <w:rsid w:val="00670DD9"/>
    <w:rsid w:val="00671950"/>
    <w:rsid w:val="00672F79"/>
    <w:rsid w:val="0067371D"/>
    <w:rsid w:val="00673C19"/>
    <w:rsid w:val="00673F49"/>
    <w:rsid w:val="006749B6"/>
    <w:rsid w:val="00675442"/>
    <w:rsid w:val="00675C5F"/>
    <w:rsid w:val="00675EB5"/>
    <w:rsid w:val="0067644E"/>
    <w:rsid w:val="006768C2"/>
    <w:rsid w:val="00685260"/>
    <w:rsid w:val="006853B4"/>
    <w:rsid w:val="006857FB"/>
    <w:rsid w:val="006867BB"/>
    <w:rsid w:val="00686DBB"/>
    <w:rsid w:val="00686F58"/>
    <w:rsid w:val="0068799D"/>
    <w:rsid w:val="00690805"/>
    <w:rsid w:val="0069120F"/>
    <w:rsid w:val="0069176B"/>
    <w:rsid w:val="006939DD"/>
    <w:rsid w:val="00697206"/>
    <w:rsid w:val="006A0CE2"/>
    <w:rsid w:val="006A209C"/>
    <w:rsid w:val="006A3322"/>
    <w:rsid w:val="006A35AE"/>
    <w:rsid w:val="006A4FDA"/>
    <w:rsid w:val="006A653B"/>
    <w:rsid w:val="006A6543"/>
    <w:rsid w:val="006A6DF3"/>
    <w:rsid w:val="006A6FAE"/>
    <w:rsid w:val="006A714A"/>
    <w:rsid w:val="006A75A3"/>
    <w:rsid w:val="006B001C"/>
    <w:rsid w:val="006B04D3"/>
    <w:rsid w:val="006B07F0"/>
    <w:rsid w:val="006B142F"/>
    <w:rsid w:val="006B3FD4"/>
    <w:rsid w:val="006B41D5"/>
    <w:rsid w:val="006B5F3E"/>
    <w:rsid w:val="006B703E"/>
    <w:rsid w:val="006B7994"/>
    <w:rsid w:val="006C3910"/>
    <w:rsid w:val="006C3A7D"/>
    <w:rsid w:val="006C48E8"/>
    <w:rsid w:val="006C4C76"/>
    <w:rsid w:val="006C4E9A"/>
    <w:rsid w:val="006C7227"/>
    <w:rsid w:val="006D0008"/>
    <w:rsid w:val="006D0BEE"/>
    <w:rsid w:val="006D2011"/>
    <w:rsid w:val="006D2643"/>
    <w:rsid w:val="006D28AC"/>
    <w:rsid w:val="006D336B"/>
    <w:rsid w:val="006D5140"/>
    <w:rsid w:val="006D71D0"/>
    <w:rsid w:val="006E0139"/>
    <w:rsid w:val="006E0151"/>
    <w:rsid w:val="006E2EE5"/>
    <w:rsid w:val="006E65FF"/>
    <w:rsid w:val="006E68FF"/>
    <w:rsid w:val="006F0E2D"/>
    <w:rsid w:val="006F32B7"/>
    <w:rsid w:val="006F4BB1"/>
    <w:rsid w:val="006F5001"/>
    <w:rsid w:val="006F557E"/>
    <w:rsid w:val="006F5594"/>
    <w:rsid w:val="006F592C"/>
    <w:rsid w:val="006F5F03"/>
    <w:rsid w:val="006F73F5"/>
    <w:rsid w:val="00701280"/>
    <w:rsid w:val="00701650"/>
    <w:rsid w:val="007019E7"/>
    <w:rsid w:val="0070265A"/>
    <w:rsid w:val="0070309E"/>
    <w:rsid w:val="0070387B"/>
    <w:rsid w:val="00705AB3"/>
    <w:rsid w:val="00705AFE"/>
    <w:rsid w:val="007063F0"/>
    <w:rsid w:val="00706697"/>
    <w:rsid w:val="007104D4"/>
    <w:rsid w:val="00710D38"/>
    <w:rsid w:val="00710D83"/>
    <w:rsid w:val="00711B7B"/>
    <w:rsid w:val="00712C1A"/>
    <w:rsid w:val="00712D32"/>
    <w:rsid w:val="007157B0"/>
    <w:rsid w:val="00715FB0"/>
    <w:rsid w:val="00717367"/>
    <w:rsid w:val="007174D6"/>
    <w:rsid w:val="00717BDA"/>
    <w:rsid w:val="00722AF3"/>
    <w:rsid w:val="0072309A"/>
    <w:rsid w:val="0072402A"/>
    <w:rsid w:val="00726C66"/>
    <w:rsid w:val="007279BC"/>
    <w:rsid w:val="00733234"/>
    <w:rsid w:val="007362EF"/>
    <w:rsid w:val="00740A59"/>
    <w:rsid w:val="00741F9D"/>
    <w:rsid w:val="00741FB9"/>
    <w:rsid w:val="00744597"/>
    <w:rsid w:val="0074499F"/>
    <w:rsid w:val="00746388"/>
    <w:rsid w:val="007508A3"/>
    <w:rsid w:val="00750901"/>
    <w:rsid w:val="0075090B"/>
    <w:rsid w:val="00754281"/>
    <w:rsid w:val="00754FEB"/>
    <w:rsid w:val="00762057"/>
    <w:rsid w:val="00763352"/>
    <w:rsid w:val="007644EA"/>
    <w:rsid w:val="00765CD0"/>
    <w:rsid w:val="007669FF"/>
    <w:rsid w:val="007672F6"/>
    <w:rsid w:val="0077063F"/>
    <w:rsid w:val="00770A90"/>
    <w:rsid w:val="00771DCA"/>
    <w:rsid w:val="00773A63"/>
    <w:rsid w:val="007764D3"/>
    <w:rsid w:val="00776809"/>
    <w:rsid w:val="00776D61"/>
    <w:rsid w:val="007774D3"/>
    <w:rsid w:val="007778A8"/>
    <w:rsid w:val="007801DA"/>
    <w:rsid w:val="007814D9"/>
    <w:rsid w:val="00781A30"/>
    <w:rsid w:val="00781A7A"/>
    <w:rsid w:val="0078215F"/>
    <w:rsid w:val="007823FF"/>
    <w:rsid w:val="00783E1A"/>
    <w:rsid w:val="007936C4"/>
    <w:rsid w:val="00795467"/>
    <w:rsid w:val="00797D9E"/>
    <w:rsid w:val="007A0392"/>
    <w:rsid w:val="007A0FF9"/>
    <w:rsid w:val="007A1D46"/>
    <w:rsid w:val="007A2BFE"/>
    <w:rsid w:val="007A3019"/>
    <w:rsid w:val="007A3626"/>
    <w:rsid w:val="007A57CF"/>
    <w:rsid w:val="007A5B35"/>
    <w:rsid w:val="007A797C"/>
    <w:rsid w:val="007B0AFA"/>
    <w:rsid w:val="007B1E0E"/>
    <w:rsid w:val="007B2761"/>
    <w:rsid w:val="007B3590"/>
    <w:rsid w:val="007B55ED"/>
    <w:rsid w:val="007B6A53"/>
    <w:rsid w:val="007C082A"/>
    <w:rsid w:val="007C0EC5"/>
    <w:rsid w:val="007C298A"/>
    <w:rsid w:val="007C2F87"/>
    <w:rsid w:val="007C3A6A"/>
    <w:rsid w:val="007C568A"/>
    <w:rsid w:val="007C6756"/>
    <w:rsid w:val="007D4872"/>
    <w:rsid w:val="007D5D9F"/>
    <w:rsid w:val="007E1FB3"/>
    <w:rsid w:val="007E2ADA"/>
    <w:rsid w:val="007E456A"/>
    <w:rsid w:val="007E6301"/>
    <w:rsid w:val="007E6532"/>
    <w:rsid w:val="007E6CF9"/>
    <w:rsid w:val="007E7C1D"/>
    <w:rsid w:val="007F0A9F"/>
    <w:rsid w:val="007F0F01"/>
    <w:rsid w:val="007F2F90"/>
    <w:rsid w:val="007F4D2D"/>
    <w:rsid w:val="007F5088"/>
    <w:rsid w:val="007F6F85"/>
    <w:rsid w:val="008013B5"/>
    <w:rsid w:val="00802457"/>
    <w:rsid w:val="008034F9"/>
    <w:rsid w:val="008059DB"/>
    <w:rsid w:val="008068E9"/>
    <w:rsid w:val="008069CD"/>
    <w:rsid w:val="00806CBC"/>
    <w:rsid w:val="00807B32"/>
    <w:rsid w:val="0081421A"/>
    <w:rsid w:val="0081523F"/>
    <w:rsid w:val="00815380"/>
    <w:rsid w:val="00815AF6"/>
    <w:rsid w:val="00815E40"/>
    <w:rsid w:val="0082273D"/>
    <w:rsid w:val="008233A4"/>
    <w:rsid w:val="008243C0"/>
    <w:rsid w:val="00824670"/>
    <w:rsid w:val="008259F3"/>
    <w:rsid w:val="00825F7F"/>
    <w:rsid w:val="008273FD"/>
    <w:rsid w:val="00832354"/>
    <w:rsid w:val="00833689"/>
    <w:rsid w:val="00834739"/>
    <w:rsid w:val="0083564A"/>
    <w:rsid w:val="008374A9"/>
    <w:rsid w:val="00837823"/>
    <w:rsid w:val="00840399"/>
    <w:rsid w:val="0084126D"/>
    <w:rsid w:val="008425DD"/>
    <w:rsid w:val="00846302"/>
    <w:rsid w:val="008477CC"/>
    <w:rsid w:val="00851E32"/>
    <w:rsid w:val="008535C5"/>
    <w:rsid w:val="0085411A"/>
    <w:rsid w:val="008547B4"/>
    <w:rsid w:val="008570D3"/>
    <w:rsid w:val="0085790C"/>
    <w:rsid w:val="008608E8"/>
    <w:rsid w:val="008613A0"/>
    <w:rsid w:val="008613AE"/>
    <w:rsid w:val="00861D3B"/>
    <w:rsid w:val="0086202D"/>
    <w:rsid w:val="0086268F"/>
    <w:rsid w:val="00862892"/>
    <w:rsid w:val="0086314C"/>
    <w:rsid w:val="008665E6"/>
    <w:rsid w:val="00867F1B"/>
    <w:rsid w:val="008703F2"/>
    <w:rsid w:val="008709C7"/>
    <w:rsid w:val="00871B1D"/>
    <w:rsid w:val="00871F51"/>
    <w:rsid w:val="00873D85"/>
    <w:rsid w:val="00874823"/>
    <w:rsid w:val="0087516C"/>
    <w:rsid w:val="008763DB"/>
    <w:rsid w:val="00880579"/>
    <w:rsid w:val="00880960"/>
    <w:rsid w:val="00880B23"/>
    <w:rsid w:val="00880D27"/>
    <w:rsid w:val="00882D01"/>
    <w:rsid w:val="0088469E"/>
    <w:rsid w:val="0089414C"/>
    <w:rsid w:val="00895B42"/>
    <w:rsid w:val="00896078"/>
    <w:rsid w:val="00896758"/>
    <w:rsid w:val="00897979"/>
    <w:rsid w:val="008A04B2"/>
    <w:rsid w:val="008A162F"/>
    <w:rsid w:val="008A336C"/>
    <w:rsid w:val="008A3736"/>
    <w:rsid w:val="008A3EDC"/>
    <w:rsid w:val="008A583C"/>
    <w:rsid w:val="008A67D4"/>
    <w:rsid w:val="008A6B24"/>
    <w:rsid w:val="008B0157"/>
    <w:rsid w:val="008B055F"/>
    <w:rsid w:val="008B1A3D"/>
    <w:rsid w:val="008B2B7A"/>
    <w:rsid w:val="008B302F"/>
    <w:rsid w:val="008B5531"/>
    <w:rsid w:val="008B7562"/>
    <w:rsid w:val="008C1D15"/>
    <w:rsid w:val="008C249F"/>
    <w:rsid w:val="008C26C7"/>
    <w:rsid w:val="008C29AF"/>
    <w:rsid w:val="008C4C18"/>
    <w:rsid w:val="008C60A2"/>
    <w:rsid w:val="008D165B"/>
    <w:rsid w:val="008D488E"/>
    <w:rsid w:val="008E2AAD"/>
    <w:rsid w:val="008E3D12"/>
    <w:rsid w:val="008E3F57"/>
    <w:rsid w:val="008E4994"/>
    <w:rsid w:val="008F48B2"/>
    <w:rsid w:val="008F681C"/>
    <w:rsid w:val="008F69ED"/>
    <w:rsid w:val="00901C80"/>
    <w:rsid w:val="00902A22"/>
    <w:rsid w:val="009036D0"/>
    <w:rsid w:val="009060CD"/>
    <w:rsid w:val="0090669A"/>
    <w:rsid w:val="00907397"/>
    <w:rsid w:val="009118BC"/>
    <w:rsid w:val="0091707B"/>
    <w:rsid w:val="009171CF"/>
    <w:rsid w:val="0092125D"/>
    <w:rsid w:val="00921A47"/>
    <w:rsid w:val="00921FEA"/>
    <w:rsid w:val="0092600A"/>
    <w:rsid w:val="009272CE"/>
    <w:rsid w:val="009323EB"/>
    <w:rsid w:val="00933458"/>
    <w:rsid w:val="00933FE7"/>
    <w:rsid w:val="009349AF"/>
    <w:rsid w:val="00936536"/>
    <w:rsid w:val="00942663"/>
    <w:rsid w:val="009439BC"/>
    <w:rsid w:val="009455A4"/>
    <w:rsid w:val="0094574C"/>
    <w:rsid w:val="0094581B"/>
    <w:rsid w:val="009473D6"/>
    <w:rsid w:val="00950CF6"/>
    <w:rsid w:val="0095151F"/>
    <w:rsid w:val="00951E8A"/>
    <w:rsid w:val="009523BA"/>
    <w:rsid w:val="00954320"/>
    <w:rsid w:val="00954E6B"/>
    <w:rsid w:val="00956377"/>
    <w:rsid w:val="00956F58"/>
    <w:rsid w:val="009625DB"/>
    <w:rsid w:val="00962E03"/>
    <w:rsid w:val="00963025"/>
    <w:rsid w:val="009653AB"/>
    <w:rsid w:val="00966138"/>
    <w:rsid w:val="0096687C"/>
    <w:rsid w:val="009668E4"/>
    <w:rsid w:val="00967775"/>
    <w:rsid w:val="00970F4B"/>
    <w:rsid w:val="00973728"/>
    <w:rsid w:val="0097466B"/>
    <w:rsid w:val="00977472"/>
    <w:rsid w:val="00977C6F"/>
    <w:rsid w:val="00980EFC"/>
    <w:rsid w:val="00982555"/>
    <w:rsid w:val="00983974"/>
    <w:rsid w:val="00983EB4"/>
    <w:rsid w:val="00986FAD"/>
    <w:rsid w:val="009873BA"/>
    <w:rsid w:val="009941C4"/>
    <w:rsid w:val="00994EDD"/>
    <w:rsid w:val="00995D0C"/>
    <w:rsid w:val="00996C53"/>
    <w:rsid w:val="00996E05"/>
    <w:rsid w:val="009A08B0"/>
    <w:rsid w:val="009A1B11"/>
    <w:rsid w:val="009A2FE3"/>
    <w:rsid w:val="009A3241"/>
    <w:rsid w:val="009A575B"/>
    <w:rsid w:val="009A6097"/>
    <w:rsid w:val="009A7742"/>
    <w:rsid w:val="009A78F6"/>
    <w:rsid w:val="009A7A7D"/>
    <w:rsid w:val="009B0018"/>
    <w:rsid w:val="009B0103"/>
    <w:rsid w:val="009B0692"/>
    <w:rsid w:val="009B1BED"/>
    <w:rsid w:val="009B2535"/>
    <w:rsid w:val="009B342C"/>
    <w:rsid w:val="009B55C5"/>
    <w:rsid w:val="009B57A1"/>
    <w:rsid w:val="009B6A8C"/>
    <w:rsid w:val="009C16E4"/>
    <w:rsid w:val="009C2B2B"/>
    <w:rsid w:val="009C5C4C"/>
    <w:rsid w:val="009C65BD"/>
    <w:rsid w:val="009C6918"/>
    <w:rsid w:val="009C6B69"/>
    <w:rsid w:val="009C7DBA"/>
    <w:rsid w:val="009C7E77"/>
    <w:rsid w:val="009D0B86"/>
    <w:rsid w:val="009D1D30"/>
    <w:rsid w:val="009D23DD"/>
    <w:rsid w:val="009D368C"/>
    <w:rsid w:val="009D5C8A"/>
    <w:rsid w:val="009E0E48"/>
    <w:rsid w:val="009E1F56"/>
    <w:rsid w:val="009E4554"/>
    <w:rsid w:val="009E4978"/>
    <w:rsid w:val="009E5A32"/>
    <w:rsid w:val="009E78BB"/>
    <w:rsid w:val="009F04DF"/>
    <w:rsid w:val="009F19A8"/>
    <w:rsid w:val="009F7071"/>
    <w:rsid w:val="00A02021"/>
    <w:rsid w:val="00A03A8D"/>
    <w:rsid w:val="00A070F8"/>
    <w:rsid w:val="00A07368"/>
    <w:rsid w:val="00A076C8"/>
    <w:rsid w:val="00A07B9F"/>
    <w:rsid w:val="00A12FDC"/>
    <w:rsid w:val="00A13EFA"/>
    <w:rsid w:val="00A14741"/>
    <w:rsid w:val="00A15A37"/>
    <w:rsid w:val="00A2014C"/>
    <w:rsid w:val="00A224E6"/>
    <w:rsid w:val="00A22739"/>
    <w:rsid w:val="00A25BAA"/>
    <w:rsid w:val="00A2714B"/>
    <w:rsid w:val="00A27D04"/>
    <w:rsid w:val="00A27D36"/>
    <w:rsid w:val="00A301E1"/>
    <w:rsid w:val="00A30222"/>
    <w:rsid w:val="00A30E25"/>
    <w:rsid w:val="00A320F1"/>
    <w:rsid w:val="00A32F8C"/>
    <w:rsid w:val="00A330A8"/>
    <w:rsid w:val="00A34D2B"/>
    <w:rsid w:val="00A35122"/>
    <w:rsid w:val="00A36B9F"/>
    <w:rsid w:val="00A3799E"/>
    <w:rsid w:val="00A408AF"/>
    <w:rsid w:val="00A40F3F"/>
    <w:rsid w:val="00A41D2F"/>
    <w:rsid w:val="00A42FA5"/>
    <w:rsid w:val="00A43BF2"/>
    <w:rsid w:val="00A43D42"/>
    <w:rsid w:val="00A43F91"/>
    <w:rsid w:val="00A4487E"/>
    <w:rsid w:val="00A455C3"/>
    <w:rsid w:val="00A4582B"/>
    <w:rsid w:val="00A46E85"/>
    <w:rsid w:val="00A47AB9"/>
    <w:rsid w:val="00A47B19"/>
    <w:rsid w:val="00A54251"/>
    <w:rsid w:val="00A55D44"/>
    <w:rsid w:val="00A574B0"/>
    <w:rsid w:val="00A61CDE"/>
    <w:rsid w:val="00A63458"/>
    <w:rsid w:val="00A6602D"/>
    <w:rsid w:val="00A679C5"/>
    <w:rsid w:val="00A679C9"/>
    <w:rsid w:val="00A7075D"/>
    <w:rsid w:val="00A716C1"/>
    <w:rsid w:val="00A718BA"/>
    <w:rsid w:val="00A72DC7"/>
    <w:rsid w:val="00A74596"/>
    <w:rsid w:val="00A754DF"/>
    <w:rsid w:val="00A76553"/>
    <w:rsid w:val="00A765A6"/>
    <w:rsid w:val="00A76B08"/>
    <w:rsid w:val="00A77723"/>
    <w:rsid w:val="00A80A63"/>
    <w:rsid w:val="00A82A53"/>
    <w:rsid w:val="00A83306"/>
    <w:rsid w:val="00A847F7"/>
    <w:rsid w:val="00A84DA1"/>
    <w:rsid w:val="00A85D2E"/>
    <w:rsid w:val="00A869E8"/>
    <w:rsid w:val="00A86F8A"/>
    <w:rsid w:val="00A911C2"/>
    <w:rsid w:val="00A91EE9"/>
    <w:rsid w:val="00A9207E"/>
    <w:rsid w:val="00AA06A3"/>
    <w:rsid w:val="00AA092A"/>
    <w:rsid w:val="00AA0DFE"/>
    <w:rsid w:val="00AA27C7"/>
    <w:rsid w:val="00AA2C7B"/>
    <w:rsid w:val="00AA31CF"/>
    <w:rsid w:val="00AA3279"/>
    <w:rsid w:val="00AA4A13"/>
    <w:rsid w:val="00AA6736"/>
    <w:rsid w:val="00AA7181"/>
    <w:rsid w:val="00AA74DE"/>
    <w:rsid w:val="00AB10E2"/>
    <w:rsid w:val="00AB148F"/>
    <w:rsid w:val="00AB2238"/>
    <w:rsid w:val="00AB29DD"/>
    <w:rsid w:val="00AC2215"/>
    <w:rsid w:val="00AC398A"/>
    <w:rsid w:val="00AC4707"/>
    <w:rsid w:val="00AC6076"/>
    <w:rsid w:val="00AD08FD"/>
    <w:rsid w:val="00AD1473"/>
    <w:rsid w:val="00AD249A"/>
    <w:rsid w:val="00AD26C9"/>
    <w:rsid w:val="00AD3BC9"/>
    <w:rsid w:val="00AD503C"/>
    <w:rsid w:val="00AD5BE7"/>
    <w:rsid w:val="00AD6C20"/>
    <w:rsid w:val="00AD702C"/>
    <w:rsid w:val="00AE1A02"/>
    <w:rsid w:val="00AE1F5D"/>
    <w:rsid w:val="00AE3EC1"/>
    <w:rsid w:val="00AE6A86"/>
    <w:rsid w:val="00AF0323"/>
    <w:rsid w:val="00AF46D0"/>
    <w:rsid w:val="00AF4724"/>
    <w:rsid w:val="00AF4A80"/>
    <w:rsid w:val="00AF6E43"/>
    <w:rsid w:val="00B0157A"/>
    <w:rsid w:val="00B02FBA"/>
    <w:rsid w:val="00B04199"/>
    <w:rsid w:val="00B04AA3"/>
    <w:rsid w:val="00B04B7B"/>
    <w:rsid w:val="00B0519F"/>
    <w:rsid w:val="00B05DEE"/>
    <w:rsid w:val="00B164AE"/>
    <w:rsid w:val="00B20DBA"/>
    <w:rsid w:val="00B21802"/>
    <w:rsid w:val="00B21F7D"/>
    <w:rsid w:val="00B31720"/>
    <w:rsid w:val="00B31D89"/>
    <w:rsid w:val="00B32748"/>
    <w:rsid w:val="00B3300A"/>
    <w:rsid w:val="00B3429F"/>
    <w:rsid w:val="00B3584C"/>
    <w:rsid w:val="00B35D65"/>
    <w:rsid w:val="00B3766E"/>
    <w:rsid w:val="00B4051A"/>
    <w:rsid w:val="00B40777"/>
    <w:rsid w:val="00B426FB"/>
    <w:rsid w:val="00B45069"/>
    <w:rsid w:val="00B46E7A"/>
    <w:rsid w:val="00B47A1A"/>
    <w:rsid w:val="00B52957"/>
    <w:rsid w:val="00B5306F"/>
    <w:rsid w:val="00B5346F"/>
    <w:rsid w:val="00B53572"/>
    <w:rsid w:val="00B53726"/>
    <w:rsid w:val="00B5507E"/>
    <w:rsid w:val="00B56B2F"/>
    <w:rsid w:val="00B5790B"/>
    <w:rsid w:val="00B57CA7"/>
    <w:rsid w:val="00B600C6"/>
    <w:rsid w:val="00B61601"/>
    <w:rsid w:val="00B616F1"/>
    <w:rsid w:val="00B62C41"/>
    <w:rsid w:val="00B6323E"/>
    <w:rsid w:val="00B6351B"/>
    <w:rsid w:val="00B654C3"/>
    <w:rsid w:val="00B66CBE"/>
    <w:rsid w:val="00B704E0"/>
    <w:rsid w:val="00B7103D"/>
    <w:rsid w:val="00B7170C"/>
    <w:rsid w:val="00B724B1"/>
    <w:rsid w:val="00B73284"/>
    <w:rsid w:val="00B736AD"/>
    <w:rsid w:val="00B73DDA"/>
    <w:rsid w:val="00B750E5"/>
    <w:rsid w:val="00B7573F"/>
    <w:rsid w:val="00B774D8"/>
    <w:rsid w:val="00B77815"/>
    <w:rsid w:val="00B80401"/>
    <w:rsid w:val="00B8205F"/>
    <w:rsid w:val="00B82F38"/>
    <w:rsid w:val="00B835BA"/>
    <w:rsid w:val="00B83783"/>
    <w:rsid w:val="00B842C7"/>
    <w:rsid w:val="00B849E7"/>
    <w:rsid w:val="00B84DA2"/>
    <w:rsid w:val="00B86040"/>
    <w:rsid w:val="00B87DCA"/>
    <w:rsid w:val="00B933DF"/>
    <w:rsid w:val="00B949B2"/>
    <w:rsid w:val="00B94B1F"/>
    <w:rsid w:val="00B96487"/>
    <w:rsid w:val="00B96530"/>
    <w:rsid w:val="00B97024"/>
    <w:rsid w:val="00B9788C"/>
    <w:rsid w:val="00BA08C7"/>
    <w:rsid w:val="00BA08FB"/>
    <w:rsid w:val="00BA0E95"/>
    <w:rsid w:val="00BA12BA"/>
    <w:rsid w:val="00BA1D4B"/>
    <w:rsid w:val="00BA2D13"/>
    <w:rsid w:val="00BA3977"/>
    <w:rsid w:val="00BA3A30"/>
    <w:rsid w:val="00BA4B78"/>
    <w:rsid w:val="00BA4CAC"/>
    <w:rsid w:val="00BA5E73"/>
    <w:rsid w:val="00BA64B8"/>
    <w:rsid w:val="00BB027B"/>
    <w:rsid w:val="00BB472A"/>
    <w:rsid w:val="00BB5541"/>
    <w:rsid w:val="00BB5861"/>
    <w:rsid w:val="00BB5947"/>
    <w:rsid w:val="00BB75EF"/>
    <w:rsid w:val="00BC0F48"/>
    <w:rsid w:val="00BC18C8"/>
    <w:rsid w:val="00BC32A8"/>
    <w:rsid w:val="00BC7BA1"/>
    <w:rsid w:val="00BD00CF"/>
    <w:rsid w:val="00BD1675"/>
    <w:rsid w:val="00BD47F0"/>
    <w:rsid w:val="00BD48B4"/>
    <w:rsid w:val="00BD7FD4"/>
    <w:rsid w:val="00BE2CD1"/>
    <w:rsid w:val="00BE6185"/>
    <w:rsid w:val="00BF040C"/>
    <w:rsid w:val="00BF1D11"/>
    <w:rsid w:val="00BF206E"/>
    <w:rsid w:val="00BF26C7"/>
    <w:rsid w:val="00BF2CF3"/>
    <w:rsid w:val="00BF41E1"/>
    <w:rsid w:val="00BF5A27"/>
    <w:rsid w:val="00C00734"/>
    <w:rsid w:val="00C00F90"/>
    <w:rsid w:val="00C0116E"/>
    <w:rsid w:val="00C03AAE"/>
    <w:rsid w:val="00C042C4"/>
    <w:rsid w:val="00C053A1"/>
    <w:rsid w:val="00C06D5C"/>
    <w:rsid w:val="00C14ACE"/>
    <w:rsid w:val="00C1776B"/>
    <w:rsid w:val="00C2057C"/>
    <w:rsid w:val="00C21BA6"/>
    <w:rsid w:val="00C226A0"/>
    <w:rsid w:val="00C23322"/>
    <w:rsid w:val="00C2429A"/>
    <w:rsid w:val="00C25687"/>
    <w:rsid w:val="00C276BE"/>
    <w:rsid w:val="00C277F1"/>
    <w:rsid w:val="00C27911"/>
    <w:rsid w:val="00C33273"/>
    <w:rsid w:val="00C35065"/>
    <w:rsid w:val="00C36B52"/>
    <w:rsid w:val="00C41AE4"/>
    <w:rsid w:val="00C434BE"/>
    <w:rsid w:val="00C44D74"/>
    <w:rsid w:val="00C44DF1"/>
    <w:rsid w:val="00C45732"/>
    <w:rsid w:val="00C45DCD"/>
    <w:rsid w:val="00C46CCF"/>
    <w:rsid w:val="00C50E25"/>
    <w:rsid w:val="00C55276"/>
    <w:rsid w:val="00C555D2"/>
    <w:rsid w:val="00C55743"/>
    <w:rsid w:val="00C574B1"/>
    <w:rsid w:val="00C6089E"/>
    <w:rsid w:val="00C61A47"/>
    <w:rsid w:val="00C62383"/>
    <w:rsid w:val="00C6331E"/>
    <w:rsid w:val="00C63334"/>
    <w:rsid w:val="00C63CA0"/>
    <w:rsid w:val="00C648D6"/>
    <w:rsid w:val="00C64C12"/>
    <w:rsid w:val="00C64C8C"/>
    <w:rsid w:val="00C65688"/>
    <w:rsid w:val="00C65B12"/>
    <w:rsid w:val="00C665CE"/>
    <w:rsid w:val="00C72BF6"/>
    <w:rsid w:val="00C73896"/>
    <w:rsid w:val="00C7471E"/>
    <w:rsid w:val="00C7621A"/>
    <w:rsid w:val="00C80295"/>
    <w:rsid w:val="00C8067D"/>
    <w:rsid w:val="00C80933"/>
    <w:rsid w:val="00C80FF6"/>
    <w:rsid w:val="00C812C7"/>
    <w:rsid w:val="00C857B4"/>
    <w:rsid w:val="00C860AE"/>
    <w:rsid w:val="00C863C6"/>
    <w:rsid w:val="00C9091C"/>
    <w:rsid w:val="00C91B55"/>
    <w:rsid w:val="00C92011"/>
    <w:rsid w:val="00C921F7"/>
    <w:rsid w:val="00C928D2"/>
    <w:rsid w:val="00C9391B"/>
    <w:rsid w:val="00C94998"/>
    <w:rsid w:val="00C959E0"/>
    <w:rsid w:val="00C976BA"/>
    <w:rsid w:val="00C97E67"/>
    <w:rsid w:val="00CA019A"/>
    <w:rsid w:val="00CA0A6F"/>
    <w:rsid w:val="00CA0F60"/>
    <w:rsid w:val="00CA15F0"/>
    <w:rsid w:val="00CA17C6"/>
    <w:rsid w:val="00CA39D6"/>
    <w:rsid w:val="00CA45A9"/>
    <w:rsid w:val="00CA4A09"/>
    <w:rsid w:val="00CA513A"/>
    <w:rsid w:val="00CA6CD0"/>
    <w:rsid w:val="00CB0DA5"/>
    <w:rsid w:val="00CB1F99"/>
    <w:rsid w:val="00CB4014"/>
    <w:rsid w:val="00CB43A9"/>
    <w:rsid w:val="00CB46E0"/>
    <w:rsid w:val="00CB5317"/>
    <w:rsid w:val="00CB6795"/>
    <w:rsid w:val="00CC1CD5"/>
    <w:rsid w:val="00CC1F19"/>
    <w:rsid w:val="00CC2200"/>
    <w:rsid w:val="00CC3856"/>
    <w:rsid w:val="00CC4E81"/>
    <w:rsid w:val="00CC5C45"/>
    <w:rsid w:val="00CC615F"/>
    <w:rsid w:val="00CC6B67"/>
    <w:rsid w:val="00CD1C59"/>
    <w:rsid w:val="00CD36CF"/>
    <w:rsid w:val="00CD4380"/>
    <w:rsid w:val="00CD6105"/>
    <w:rsid w:val="00CD72F7"/>
    <w:rsid w:val="00CE16D8"/>
    <w:rsid w:val="00CE1AE0"/>
    <w:rsid w:val="00CE3091"/>
    <w:rsid w:val="00CE49E5"/>
    <w:rsid w:val="00CE67D5"/>
    <w:rsid w:val="00CE70F8"/>
    <w:rsid w:val="00CF2268"/>
    <w:rsid w:val="00CF2F4A"/>
    <w:rsid w:val="00CF3D35"/>
    <w:rsid w:val="00CF58F2"/>
    <w:rsid w:val="00CF6278"/>
    <w:rsid w:val="00D01165"/>
    <w:rsid w:val="00D01A90"/>
    <w:rsid w:val="00D021F0"/>
    <w:rsid w:val="00D03F55"/>
    <w:rsid w:val="00D05D57"/>
    <w:rsid w:val="00D06BD9"/>
    <w:rsid w:val="00D06E4D"/>
    <w:rsid w:val="00D07F8F"/>
    <w:rsid w:val="00D1043B"/>
    <w:rsid w:val="00D112A2"/>
    <w:rsid w:val="00D121B0"/>
    <w:rsid w:val="00D12EF5"/>
    <w:rsid w:val="00D14296"/>
    <w:rsid w:val="00D143BA"/>
    <w:rsid w:val="00D16FE5"/>
    <w:rsid w:val="00D204E1"/>
    <w:rsid w:val="00D20E96"/>
    <w:rsid w:val="00D222BE"/>
    <w:rsid w:val="00D25A93"/>
    <w:rsid w:val="00D25CEE"/>
    <w:rsid w:val="00D26270"/>
    <w:rsid w:val="00D312B6"/>
    <w:rsid w:val="00D32693"/>
    <w:rsid w:val="00D334C2"/>
    <w:rsid w:val="00D33D01"/>
    <w:rsid w:val="00D35622"/>
    <w:rsid w:val="00D36CF2"/>
    <w:rsid w:val="00D41094"/>
    <w:rsid w:val="00D4149C"/>
    <w:rsid w:val="00D414D0"/>
    <w:rsid w:val="00D42A16"/>
    <w:rsid w:val="00D42C70"/>
    <w:rsid w:val="00D4353B"/>
    <w:rsid w:val="00D455E5"/>
    <w:rsid w:val="00D456F1"/>
    <w:rsid w:val="00D45EFB"/>
    <w:rsid w:val="00D4633D"/>
    <w:rsid w:val="00D516A0"/>
    <w:rsid w:val="00D53DCD"/>
    <w:rsid w:val="00D55198"/>
    <w:rsid w:val="00D61A31"/>
    <w:rsid w:val="00D622FE"/>
    <w:rsid w:val="00D64085"/>
    <w:rsid w:val="00D71E48"/>
    <w:rsid w:val="00D71EE9"/>
    <w:rsid w:val="00D72303"/>
    <w:rsid w:val="00D73D12"/>
    <w:rsid w:val="00D75327"/>
    <w:rsid w:val="00D76BA1"/>
    <w:rsid w:val="00D779A9"/>
    <w:rsid w:val="00D80CBF"/>
    <w:rsid w:val="00D82384"/>
    <w:rsid w:val="00D84434"/>
    <w:rsid w:val="00D84CD5"/>
    <w:rsid w:val="00D86176"/>
    <w:rsid w:val="00D87C9D"/>
    <w:rsid w:val="00D87F4C"/>
    <w:rsid w:val="00D9090F"/>
    <w:rsid w:val="00D941B2"/>
    <w:rsid w:val="00D97C04"/>
    <w:rsid w:val="00DA1B0B"/>
    <w:rsid w:val="00DA2323"/>
    <w:rsid w:val="00DA5F78"/>
    <w:rsid w:val="00DA6B5E"/>
    <w:rsid w:val="00DA76DD"/>
    <w:rsid w:val="00DB1054"/>
    <w:rsid w:val="00DB1566"/>
    <w:rsid w:val="00DC3CA0"/>
    <w:rsid w:val="00DC4541"/>
    <w:rsid w:val="00DC5B88"/>
    <w:rsid w:val="00DC5E12"/>
    <w:rsid w:val="00DC701F"/>
    <w:rsid w:val="00DD062F"/>
    <w:rsid w:val="00DD13C4"/>
    <w:rsid w:val="00DD3B03"/>
    <w:rsid w:val="00DD4B1B"/>
    <w:rsid w:val="00DD5B6B"/>
    <w:rsid w:val="00DE21DB"/>
    <w:rsid w:val="00DE279A"/>
    <w:rsid w:val="00DE3440"/>
    <w:rsid w:val="00DE4286"/>
    <w:rsid w:val="00DE49C1"/>
    <w:rsid w:val="00DF51EF"/>
    <w:rsid w:val="00DF5680"/>
    <w:rsid w:val="00DF74A6"/>
    <w:rsid w:val="00DF7889"/>
    <w:rsid w:val="00DF79F2"/>
    <w:rsid w:val="00E0416D"/>
    <w:rsid w:val="00E0610A"/>
    <w:rsid w:val="00E0714D"/>
    <w:rsid w:val="00E071DE"/>
    <w:rsid w:val="00E07E0A"/>
    <w:rsid w:val="00E11B89"/>
    <w:rsid w:val="00E12141"/>
    <w:rsid w:val="00E1221F"/>
    <w:rsid w:val="00E1279F"/>
    <w:rsid w:val="00E12B90"/>
    <w:rsid w:val="00E13425"/>
    <w:rsid w:val="00E14B71"/>
    <w:rsid w:val="00E1680F"/>
    <w:rsid w:val="00E20844"/>
    <w:rsid w:val="00E2147B"/>
    <w:rsid w:val="00E24378"/>
    <w:rsid w:val="00E25684"/>
    <w:rsid w:val="00E25888"/>
    <w:rsid w:val="00E262AD"/>
    <w:rsid w:val="00E27E5D"/>
    <w:rsid w:val="00E3062B"/>
    <w:rsid w:val="00E35F95"/>
    <w:rsid w:val="00E4371A"/>
    <w:rsid w:val="00E4468E"/>
    <w:rsid w:val="00E459E3"/>
    <w:rsid w:val="00E4626F"/>
    <w:rsid w:val="00E47AFF"/>
    <w:rsid w:val="00E47F21"/>
    <w:rsid w:val="00E508AF"/>
    <w:rsid w:val="00E523A0"/>
    <w:rsid w:val="00E5297E"/>
    <w:rsid w:val="00E5367C"/>
    <w:rsid w:val="00E5618F"/>
    <w:rsid w:val="00E5720D"/>
    <w:rsid w:val="00E57BEB"/>
    <w:rsid w:val="00E57F5C"/>
    <w:rsid w:val="00E60957"/>
    <w:rsid w:val="00E61204"/>
    <w:rsid w:val="00E63861"/>
    <w:rsid w:val="00E63A7C"/>
    <w:rsid w:val="00E66868"/>
    <w:rsid w:val="00E67B0A"/>
    <w:rsid w:val="00E70A09"/>
    <w:rsid w:val="00E714D8"/>
    <w:rsid w:val="00E8007B"/>
    <w:rsid w:val="00E807CC"/>
    <w:rsid w:val="00E81804"/>
    <w:rsid w:val="00E8230D"/>
    <w:rsid w:val="00E82B40"/>
    <w:rsid w:val="00E86A8D"/>
    <w:rsid w:val="00E87AD6"/>
    <w:rsid w:val="00E915B2"/>
    <w:rsid w:val="00E925FD"/>
    <w:rsid w:val="00E947E5"/>
    <w:rsid w:val="00E9495B"/>
    <w:rsid w:val="00E95FCE"/>
    <w:rsid w:val="00E97A6C"/>
    <w:rsid w:val="00EA054D"/>
    <w:rsid w:val="00EA183F"/>
    <w:rsid w:val="00EA1A18"/>
    <w:rsid w:val="00EA37F2"/>
    <w:rsid w:val="00EA3D0E"/>
    <w:rsid w:val="00EA3E17"/>
    <w:rsid w:val="00EA61C2"/>
    <w:rsid w:val="00EA7D1B"/>
    <w:rsid w:val="00EB09FE"/>
    <w:rsid w:val="00EB17A2"/>
    <w:rsid w:val="00EB17FB"/>
    <w:rsid w:val="00EB23A7"/>
    <w:rsid w:val="00EB25E2"/>
    <w:rsid w:val="00EB31E0"/>
    <w:rsid w:val="00EB47E3"/>
    <w:rsid w:val="00EB5A77"/>
    <w:rsid w:val="00EB68A5"/>
    <w:rsid w:val="00EC042B"/>
    <w:rsid w:val="00EC0510"/>
    <w:rsid w:val="00EC1249"/>
    <w:rsid w:val="00EC34DD"/>
    <w:rsid w:val="00EC6FCF"/>
    <w:rsid w:val="00EC7495"/>
    <w:rsid w:val="00ED0593"/>
    <w:rsid w:val="00ED1F20"/>
    <w:rsid w:val="00EE0F13"/>
    <w:rsid w:val="00EE22D0"/>
    <w:rsid w:val="00EE3D29"/>
    <w:rsid w:val="00EE3E6A"/>
    <w:rsid w:val="00EE44E1"/>
    <w:rsid w:val="00EE78E6"/>
    <w:rsid w:val="00EF0D92"/>
    <w:rsid w:val="00EF2904"/>
    <w:rsid w:val="00EF7D4A"/>
    <w:rsid w:val="00F00BEB"/>
    <w:rsid w:val="00F04A75"/>
    <w:rsid w:val="00F06489"/>
    <w:rsid w:val="00F07D89"/>
    <w:rsid w:val="00F12C38"/>
    <w:rsid w:val="00F13F0D"/>
    <w:rsid w:val="00F14206"/>
    <w:rsid w:val="00F142ED"/>
    <w:rsid w:val="00F14A71"/>
    <w:rsid w:val="00F150B0"/>
    <w:rsid w:val="00F153A8"/>
    <w:rsid w:val="00F1560C"/>
    <w:rsid w:val="00F160EE"/>
    <w:rsid w:val="00F24953"/>
    <w:rsid w:val="00F26DC2"/>
    <w:rsid w:val="00F2730F"/>
    <w:rsid w:val="00F27CEB"/>
    <w:rsid w:val="00F30058"/>
    <w:rsid w:val="00F31381"/>
    <w:rsid w:val="00F31C46"/>
    <w:rsid w:val="00F3237B"/>
    <w:rsid w:val="00F337C5"/>
    <w:rsid w:val="00F34A3F"/>
    <w:rsid w:val="00F35631"/>
    <w:rsid w:val="00F40DE4"/>
    <w:rsid w:val="00F41F37"/>
    <w:rsid w:val="00F42211"/>
    <w:rsid w:val="00F44DB2"/>
    <w:rsid w:val="00F450FA"/>
    <w:rsid w:val="00F50065"/>
    <w:rsid w:val="00F50BB4"/>
    <w:rsid w:val="00F5156C"/>
    <w:rsid w:val="00F6149E"/>
    <w:rsid w:val="00F64DDA"/>
    <w:rsid w:val="00F657BA"/>
    <w:rsid w:val="00F66693"/>
    <w:rsid w:val="00F66C17"/>
    <w:rsid w:val="00F6757A"/>
    <w:rsid w:val="00F67677"/>
    <w:rsid w:val="00F73B56"/>
    <w:rsid w:val="00F75C09"/>
    <w:rsid w:val="00F8106A"/>
    <w:rsid w:val="00F811FA"/>
    <w:rsid w:val="00F831B6"/>
    <w:rsid w:val="00F83C22"/>
    <w:rsid w:val="00F83F23"/>
    <w:rsid w:val="00F84F4B"/>
    <w:rsid w:val="00F8529D"/>
    <w:rsid w:val="00F85522"/>
    <w:rsid w:val="00F87B95"/>
    <w:rsid w:val="00F90CA3"/>
    <w:rsid w:val="00F90FB2"/>
    <w:rsid w:val="00F919FF"/>
    <w:rsid w:val="00F91C99"/>
    <w:rsid w:val="00F9446D"/>
    <w:rsid w:val="00F945F8"/>
    <w:rsid w:val="00F972EE"/>
    <w:rsid w:val="00F973F2"/>
    <w:rsid w:val="00FA0811"/>
    <w:rsid w:val="00FA30D8"/>
    <w:rsid w:val="00FA3F47"/>
    <w:rsid w:val="00FA59C6"/>
    <w:rsid w:val="00FA6539"/>
    <w:rsid w:val="00FA6A29"/>
    <w:rsid w:val="00FA790F"/>
    <w:rsid w:val="00FB0C01"/>
    <w:rsid w:val="00FB2E93"/>
    <w:rsid w:val="00FB4703"/>
    <w:rsid w:val="00FB482A"/>
    <w:rsid w:val="00FB55CD"/>
    <w:rsid w:val="00FC1BE0"/>
    <w:rsid w:val="00FC4270"/>
    <w:rsid w:val="00FC4BFF"/>
    <w:rsid w:val="00FC5904"/>
    <w:rsid w:val="00FC5DBB"/>
    <w:rsid w:val="00FC696A"/>
    <w:rsid w:val="00FC797B"/>
    <w:rsid w:val="00FD2926"/>
    <w:rsid w:val="00FD66D0"/>
    <w:rsid w:val="00FD7DEA"/>
    <w:rsid w:val="00FE129F"/>
    <w:rsid w:val="00FE22C6"/>
    <w:rsid w:val="00FE4C2A"/>
    <w:rsid w:val="00FE53BD"/>
    <w:rsid w:val="00FE60FF"/>
    <w:rsid w:val="00FE72F6"/>
    <w:rsid w:val="00FE76CA"/>
    <w:rsid w:val="00FE7C7B"/>
    <w:rsid w:val="00FF031C"/>
    <w:rsid w:val="00FF19D2"/>
    <w:rsid w:val="00FF411E"/>
    <w:rsid w:val="00FF4E5A"/>
    <w:rsid w:val="00FF6A9B"/>
    <w:rsid w:val="00FF6D59"/>
    <w:rsid w:val="00FF6E68"/>
    <w:rsid w:val="4E2C7848"/>
    <w:rsid w:val="DF57D88A"/>
    <w:rsid w:val="FABFA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iPriority="0" w:semiHidden="0" w:name="heading 6"/>
    <w:lsdException w:qFormat="1"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iPriority="99" w:semiHidden="0" w:name="header"/>
    <w:lsdException w:qFormat="1" w:uiPriority="0" w:semiHidden="0" w:name="footer"/>
    <w:lsdException w:qFormat="1" w:unhideWhenUsed="0" w:uiPriority="99"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99" w:semiHidden="0"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qFormat="1"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qFormat="1" w:unhideWhenUsed="0" w:uiPriority="99" w:semiHidden="0" w:name="List Continue 2"/>
    <w:lsdException w:qFormat="1" w:unhideWhenUsed="0" w:uiPriority="99" w:semiHidden="0"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iPriority="0" w:semiHidden="0" w:name="Body Text First Indent"/>
    <w:lsdException w:uiPriority="99"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qFormat="1" w:unhideWhenUsed="0" w:uiPriority="0"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00" w:lineRule="exact"/>
      <w:ind w:firstLine="200" w:firstLineChars="200"/>
    </w:pPr>
    <w:rPr>
      <w:rFonts w:ascii="Times New Roman" w:hAnsi="Times New Roman" w:eastAsia="仿宋" w:cs="Times New Roman"/>
      <w:kern w:val="2"/>
      <w:sz w:val="28"/>
      <w:lang w:val="en-US" w:eastAsia="zh-CN" w:bidi="ar-SA"/>
    </w:rPr>
  </w:style>
  <w:style w:type="paragraph" w:styleId="2">
    <w:name w:val="heading 1"/>
    <w:basedOn w:val="1"/>
    <w:next w:val="1"/>
    <w:link w:val="95"/>
    <w:qFormat/>
    <w:uiPriority w:val="0"/>
    <w:pPr>
      <w:keepNext/>
      <w:keepLines/>
      <w:widowControl w:val="0"/>
      <w:adjustRightInd w:val="0"/>
      <w:snapToGrid w:val="0"/>
      <w:spacing w:line="360" w:lineRule="auto"/>
      <w:ind w:firstLine="0" w:firstLineChars="0"/>
      <w:jc w:val="center"/>
      <w:textAlignment w:val="baseline"/>
      <w:outlineLvl w:val="0"/>
    </w:pPr>
    <w:rPr>
      <w:rFonts w:ascii="黑体" w:hAnsi="宋体" w:eastAsia="黑体"/>
      <w:b/>
      <w:kern w:val="44"/>
      <w:sz w:val="36"/>
    </w:rPr>
  </w:style>
  <w:style w:type="paragraph" w:styleId="3">
    <w:name w:val="heading 2"/>
    <w:basedOn w:val="1"/>
    <w:next w:val="1"/>
    <w:link w:val="81"/>
    <w:qFormat/>
    <w:uiPriority w:val="0"/>
    <w:pPr>
      <w:keepNext/>
      <w:keepLines/>
      <w:spacing w:before="260" w:after="260" w:line="415" w:lineRule="auto"/>
      <w:ind w:firstLine="0" w:firstLineChars="0"/>
      <w:outlineLvl w:val="1"/>
    </w:pPr>
    <w:rPr>
      <w:rFonts w:ascii="Arial" w:hAnsi="Arial" w:eastAsia="黑体"/>
      <w:b/>
      <w:bCs/>
      <w:sz w:val="32"/>
      <w:szCs w:val="32"/>
    </w:rPr>
  </w:style>
  <w:style w:type="paragraph" w:styleId="4">
    <w:name w:val="heading 3"/>
    <w:basedOn w:val="1"/>
    <w:next w:val="1"/>
    <w:link w:val="82"/>
    <w:unhideWhenUsed/>
    <w:qFormat/>
    <w:uiPriority w:val="0"/>
    <w:pPr>
      <w:keepNext/>
      <w:keepLines/>
      <w:spacing w:before="260" w:after="260" w:line="240" w:lineRule="auto"/>
      <w:contextualSpacing/>
      <w:outlineLvl w:val="2"/>
    </w:pPr>
    <w:rPr>
      <w:b/>
      <w:bCs/>
      <w:sz w:val="32"/>
      <w:szCs w:val="32"/>
    </w:rPr>
  </w:style>
  <w:style w:type="paragraph" w:styleId="5">
    <w:name w:val="heading 4"/>
    <w:basedOn w:val="1"/>
    <w:next w:val="6"/>
    <w:link w:val="96"/>
    <w:qFormat/>
    <w:uiPriority w:val="0"/>
    <w:pPr>
      <w:keepNext/>
      <w:keepLines/>
      <w:widowControl w:val="0"/>
      <w:snapToGrid w:val="0"/>
      <w:spacing w:before="100" w:beforeLines="100" w:after="100" w:afterLines="100" w:line="240" w:lineRule="auto"/>
      <w:ind w:firstLine="0" w:firstLineChars="0"/>
      <w:outlineLvl w:val="3"/>
    </w:pPr>
    <w:rPr>
      <w:rFonts w:ascii="宋体" w:hAnsi="宋体" w:eastAsia="宋体"/>
      <w:sz w:val="24"/>
    </w:rPr>
  </w:style>
  <w:style w:type="paragraph" w:styleId="7">
    <w:name w:val="heading 5"/>
    <w:basedOn w:val="1"/>
    <w:next w:val="1"/>
    <w:link w:val="97"/>
    <w:qFormat/>
    <w:uiPriority w:val="0"/>
    <w:pPr>
      <w:keepNext/>
      <w:keepLines/>
      <w:widowControl w:val="0"/>
      <w:numPr>
        <w:ilvl w:val="4"/>
        <w:numId w:val="1"/>
      </w:numPr>
      <w:spacing w:before="280" w:after="290" w:line="40" w:lineRule="exact"/>
      <w:ind w:firstLine="0" w:firstLineChars="0"/>
      <w:jc w:val="both"/>
      <w:outlineLvl w:val="4"/>
    </w:pPr>
    <w:rPr>
      <w:rFonts w:eastAsia="宋体"/>
      <w:b/>
      <w:sz w:val="21"/>
    </w:rPr>
  </w:style>
  <w:style w:type="paragraph" w:styleId="8">
    <w:name w:val="heading 6"/>
    <w:basedOn w:val="1"/>
    <w:next w:val="1"/>
    <w:link w:val="98"/>
    <w:unhideWhenUsed/>
    <w:qFormat/>
    <w:uiPriority w:val="0"/>
    <w:pPr>
      <w:keepNext/>
      <w:keepLines/>
      <w:widowControl w:val="0"/>
      <w:spacing w:before="240" w:after="64" w:line="320" w:lineRule="auto"/>
      <w:ind w:firstLine="0" w:firstLineChars="0"/>
      <w:jc w:val="both"/>
      <w:outlineLvl w:val="5"/>
    </w:pPr>
    <w:rPr>
      <w:rFonts w:asciiTheme="majorHAnsi" w:hAnsiTheme="majorHAnsi" w:eastAsiaTheme="majorEastAsia" w:cstheme="majorBidi"/>
      <w:b/>
      <w:bCs/>
      <w:sz w:val="24"/>
      <w:szCs w:val="24"/>
    </w:rPr>
  </w:style>
  <w:style w:type="paragraph" w:styleId="9">
    <w:name w:val="heading 7"/>
    <w:basedOn w:val="1"/>
    <w:next w:val="1"/>
    <w:link w:val="99"/>
    <w:unhideWhenUsed/>
    <w:qFormat/>
    <w:uiPriority w:val="99"/>
    <w:pPr>
      <w:keepNext/>
      <w:keepLines/>
      <w:widowControl w:val="0"/>
      <w:numPr>
        <w:ilvl w:val="6"/>
        <w:numId w:val="1"/>
      </w:numPr>
      <w:spacing w:before="240" w:after="64" w:line="320" w:lineRule="auto"/>
      <w:ind w:firstLine="0" w:firstLineChars="0"/>
      <w:jc w:val="both"/>
      <w:outlineLvl w:val="6"/>
    </w:pPr>
    <w:rPr>
      <w:rFonts w:asciiTheme="minorHAnsi" w:hAnsiTheme="minorHAnsi" w:eastAsiaTheme="minorEastAsia" w:cstheme="minorBidi"/>
      <w:b/>
      <w:bCs/>
      <w:sz w:val="24"/>
      <w:szCs w:val="24"/>
    </w:rPr>
  </w:style>
  <w:style w:type="paragraph" w:styleId="10">
    <w:name w:val="heading 8"/>
    <w:basedOn w:val="9"/>
    <w:next w:val="1"/>
    <w:link w:val="100"/>
    <w:qFormat/>
    <w:uiPriority w:val="99"/>
    <w:pPr>
      <w:tabs>
        <w:tab w:val="left" w:pos="1440"/>
      </w:tabs>
      <w:adjustRightInd w:val="0"/>
      <w:spacing w:before="0" w:after="0" w:line="360" w:lineRule="auto"/>
      <w:ind w:left="1440" w:hanging="1440"/>
      <w:jc w:val="left"/>
      <w:textAlignment w:val="baseline"/>
      <w:outlineLvl w:val="7"/>
    </w:pPr>
    <w:rPr>
      <w:rFonts w:ascii="Times New Roman" w:hAnsi="Times New Roman" w:eastAsia="宋体" w:cs="Times New Roman"/>
      <w:b w:val="0"/>
      <w:bCs w:val="0"/>
      <w:kern w:val="0"/>
    </w:rPr>
  </w:style>
  <w:style w:type="paragraph" w:styleId="11">
    <w:name w:val="heading 9"/>
    <w:basedOn w:val="10"/>
    <w:next w:val="1"/>
    <w:link w:val="101"/>
    <w:qFormat/>
    <w:uiPriority w:val="99"/>
    <w:pPr>
      <w:tabs>
        <w:tab w:val="left" w:pos="1584"/>
        <w:tab w:val="clear" w:pos="1440"/>
      </w:tabs>
      <w:ind w:left="1584" w:hanging="1584"/>
      <w:outlineLvl w:val="8"/>
    </w:pPr>
  </w:style>
  <w:style w:type="character" w:default="1" w:styleId="70">
    <w:name w:val="Default Paragraph Font"/>
    <w:semiHidden/>
    <w:unhideWhenUsed/>
    <w:qFormat/>
    <w:uiPriority w:val="1"/>
  </w:style>
  <w:style w:type="table" w:default="1" w:styleId="67">
    <w:name w:val="Normal Table"/>
    <w:semiHidden/>
    <w:unhideWhenUsed/>
    <w:qFormat/>
    <w:uiPriority w:val="99"/>
    <w:tblPr>
      <w:tblCellMar>
        <w:top w:w="0" w:type="dxa"/>
        <w:left w:w="108" w:type="dxa"/>
        <w:bottom w:w="0" w:type="dxa"/>
        <w:right w:w="108" w:type="dxa"/>
      </w:tblCellMar>
    </w:tblPr>
  </w:style>
  <w:style w:type="paragraph" w:customStyle="1" w:styleId="6">
    <w:name w:val="正文-论文"/>
    <w:basedOn w:val="1"/>
    <w:link w:val="413"/>
    <w:qFormat/>
    <w:uiPriority w:val="99"/>
    <w:pPr>
      <w:widowControl w:val="0"/>
      <w:spacing w:line="360" w:lineRule="auto"/>
      <w:contextualSpacing/>
      <w:jc w:val="both"/>
    </w:pPr>
    <w:rPr>
      <w:rFonts w:eastAsia="宋体"/>
      <w:color w:val="000000"/>
      <w:sz w:val="24"/>
      <w:szCs w:val="24"/>
    </w:rPr>
  </w:style>
  <w:style w:type="paragraph" w:styleId="12">
    <w:name w:val="List 3"/>
    <w:basedOn w:val="1"/>
    <w:qFormat/>
    <w:uiPriority w:val="99"/>
    <w:pPr>
      <w:widowControl w:val="0"/>
      <w:spacing w:line="360" w:lineRule="auto"/>
      <w:ind w:left="100" w:leftChars="400" w:hanging="200" w:hangingChars="200"/>
      <w:jc w:val="both"/>
    </w:pPr>
    <w:rPr>
      <w:rFonts w:eastAsia="宋体"/>
      <w:sz w:val="24"/>
      <w:szCs w:val="24"/>
    </w:rPr>
  </w:style>
  <w:style w:type="paragraph" w:styleId="13">
    <w:name w:val="toc 7"/>
    <w:basedOn w:val="1"/>
    <w:next w:val="1"/>
    <w:qFormat/>
    <w:uiPriority w:val="39"/>
    <w:pPr>
      <w:widowControl w:val="0"/>
      <w:spacing w:line="240" w:lineRule="auto"/>
      <w:ind w:left="1440" w:firstLine="0" w:firstLineChars="0"/>
    </w:pPr>
    <w:rPr>
      <w:rFonts w:eastAsia="宋体" w:asciiTheme="minorHAnsi" w:hAnsiTheme="minorHAnsi" w:cstheme="minorHAnsi"/>
      <w:sz w:val="18"/>
      <w:szCs w:val="18"/>
    </w:rPr>
  </w:style>
  <w:style w:type="paragraph" w:styleId="14">
    <w:name w:val="List Bullet 4"/>
    <w:basedOn w:val="1"/>
    <w:qFormat/>
    <w:uiPriority w:val="99"/>
    <w:pPr>
      <w:widowControl w:val="0"/>
      <w:numPr>
        <w:ilvl w:val="0"/>
        <w:numId w:val="2"/>
      </w:numPr>
      <w:spacing w:line="360" w:lineRule="auto"/>
      <w:jc w:val="both"/>
    </w:pPr>
    <w:rPr>
      <w:rFonts w:eastAsia="宋体"/>
      <w:sz w:val="24"/>
      <w:szCs w:val="24"/>
    </w:rPr>
  </w:style>
  <w:style w:type="paragraph" w:styleId="15">
    <w:name w:val="index 8"/>
    <w:basedOn w:val="1"/>
    <w:next w:val="1"/>
    <w:semiHidden/>
    <w:qFormat/>
    <w:uiPriority w:val="99"/>
    <w:pPr>
      <w:widowControl w:val="0"/>
      <w:spacing w:line="360" w:lineRule="auto"/>
      <w:ind w:left="1400" w:leftChars="1400" w:firstLine="0" w:firstLineChars="0"/>
      <w:jc w:val="both"/>
    </w:pPr>
    <w:rPr>
      <w:rFonts w:eastAsia="宋体"/>
      <w:sz w:val="24"/>
      <w:szCs w:val="24"/>
    </w:rPr>
  </w:style>
  <w:style w:type="paragraph" w:styleId="16">
    <w:name w:val="List Number"/>
    <w:basedOn w:val="1"/>
    <w:unhideWhenUsed/>
    <w:qFormat/>
    <w:uiPriority w:val="99"/>
    <w:pPr>
      <w:widowControl w:val="0"/>
      <w:spacing w:line="288" w:lineRule="auto"/>
      <w:ind w:firstLine="0" w:firstLineChars="0"/>
    </w:pPr>
    <w:rPr>
      <w:rFonts w:eastAsia="宋体"/>
      <w:sz w:val="24"/>
      <w:szCs w:val="24"/>
    </w:rPr>
  </w:style>
  <w:style w:type="paragraph" w:styleId="17">
    <w:name w:val="Normal Indent"/>
    <w:basedOn w:val="1"/>
    <w:link w:val="309"/>
    <w:qFormat/>
    <w:uiPriority w:val="0"/>
    <w:pPr>
      <w:widowControl w:val="0"/>
      <w:spacing w:line="300" w:lineRule="auto"/>
      <w:ind w:firstLine="420" w:firstLineChars="0"/>
      <w:jc w:val="both"/>
    </w:pPr>
    <w:rPr>
      <w:rFonts w:eastAsia="宋体"/>
      <w:sz w:val="24"/>
    </w:rPr>
  </w:style>
  <w:style w:type="paragraph" w:styleId="18">
    <w:name w:val="caption"/>
    <w:basedOn w:val="1"/>
    <w:next w:val="6"/>
    <w:link w:val="201"/>
    <w:qFormat/>
    <w:uiPriority w:val="35"/>
    <w:pPr>
      <w:widowControl w:val="0"/>
      <w:snapToGrid w:val="0"/>
      <w:spacing w:before="163" w:beforeLines="50" w:after="163" w:afterLines="50" w:line="240" w:lineRule="auto"/>
      <w:ind w:firstLine="0" w:firstLineChars="0"/>
      <w:jc w:val="center"/>
    </w:pPr>
    <w:rPr>
      <w:rFonts w:ascii="宋体" w:hAnsi="宋体" w:eastAsia="宋体" w:cs="Arial"/>
      <w:b/>
      <w:sz w:val="21"/>
    </w:rPr>
  </w:style>
  <w:style w:type="paragraph" w:styleId="19">
    <w:name w:val="index 5"/>
    <w:basedOn w:val="1"/>
    <w:next w:val="1"/>
    <w:semiHidden/>
    <w:qFormat/>
    <w:uiPriority w:val="99"/>
    <w:pPr>
      <w:widowControl w:val="0"/>
      <w:spacing w:line="360" w:lineRule="auto"/>
      <w:ind w:left="800" w:leftChars="800" w:firstLine="0" w:firstLineChars="0"/>
      <w:jc w:val="both"/>
    </w:pPr>
    <w:rPr>
      <w:rFonts w:eastAsia="宋体"/>
      <w:sz w:val="24"/>
      <w:szCs w:val="24"/>
    </w:rPr>
  </w:style>
  <w:style w:type="paragraph" w:styleId="20">
    <w:name w:val="Document Map"/>
    <w:basedOn w:val="1"/>
    <w:link w:val="126"/>
    <w:qFormat/>
    <w:uiPriority w:val="99"/>
    <w:pPr>
      <w:widowControl w:val="0"/>
      <w:shd w:val="clear" w:color="auto" w:fill="000080"/>
      <w:spacing w:line="240" w:lineRule="auto"/>
      <w:ind w:firstLine="0" w:firstLineChars="0"/>
      <w:jc w:val="both"/>
    </w:pPr>
    <w:rPr>
      <w:rFonts w:eastAsia="宋体"/>
      <w:sz w:val="21"/>
      <w:szCs w:val="24"/>
    </w:rPr>
  </w:style>
  <w:style w:type="paragraph" w:styleId="21">
    <w:name w:val="annotation text"/>
    <w:basedOn w:val="1"/>
    <w:link w:val="86"/>
    <w:qFormat/>
    <w:uiPriority w:val="0"/>
  </w:style>
  <w:style w:type="paragraph" w:styleId="22">
    <w:name w:val="index 6"/>
    <w:basedOn w:val="1"/>
    <w:next w:val="1"/>
    <w:semiHidden/>
    <w:qFormat/>
    <w:uiPriority w:val="99"/>
    <w:pPr>
      <w:widowControl w:val="0"/>
      <w:spacing w:line="360" w:lineRule="auto"/>
      <w:ind w:left="1000" w:leftChars="1000" w:firstLine="0" w:firstLineChars="0"/>
      <w:jc w:val="both"/>
    </w:pPr>
    <w:rPr>
      <w:rFonts w:eastAsia="宋体"/>
      <w:sz w:val="24"/>
      <w:szCs w:val="24"/>
    </w:rPr>
  </w:style>
  <w:style w:type="paragraph" w:styleId="23">
    <w:name w:val="Body Text 3"/>
    <w:basedOn w:val="1"/>
    <w:link w:val="124"/>
    <w:qFormat/>
    <w:uiPriority w:val="99"/>
    <w:pPr>
      <w:widowControl w:val="0"/>
      <w:spacing w:after="120" w:line="240" w:lineRule="auto"/>
      <w:ind w:firstLine="0" w:firstLineChars="0"/>
      <w:jc w:val="both"/>
    </w:pPr>
    <w:rPr>
      <w:rFonts w:eastAsia="宋体"/>
      <w:sz w:val="16"/>
      <w:szCs w:val="16"/>
    </w:rPr>
  </w:style>
  <w:style w:type="paragraph" w:styleId="24">
    <w:name w:val="List Bullet 3"/>
    <w:basedOn w:val="1"/>
    <w:qFormat/>
    <w:uiPriority w:val="99"/>
    <w:pPr>
      <w:widowControl w:val="0"/>
      <w:numPr>
        <w:ilvl w:val="0"/>
        <w:numId w:val="3"/>
      </w:numPr>
      <w:tabs>
        <w:tab w:val="left" w:pos="360"/>
        <w:tab w:val="clear" w:pos="1200"/>
      </w:tabs>
      <w:spacing w:line="360" w:lineRule="auto"/>
      <w:ind w:left="0" w:leftChars="0" w:firstLine="200" w:firstLineChars="200"/>
      <w:jc w:val="both"/>
    </w:pPr>
    <w:rPr>
      <w:rFonts w:eastAsia="宋体"/>
      <w:sz w:val="24"/>
      <w:szCs w:val="24"/>
    </w:rPr>
  </w:style>
  <w:style w:type="paragraph" w:styleId="25">
    <w:name w:val="Body Text"/>
    <w:basedOn w:val="1"/>
    <w:link w:val="85"/>
    <w:qFormat/>
    <w:uiPriority w:val="99"/>
    <w:pPr>
      <w:widowControl w:val="0"/>
      <w:spacing w:line="360" w:lineRule="auto"/>
      <w:ind w:firstLine="240"/>
    </w:pPr>
    <w:rPr>
      <w:rFonts w:ascii="仿宋" w:hAnsi="仿宋"/>
      <w:kern w:val="0"/>
      <w:sz w:val="32"/>
      <w:szCs w:val="32"/>
      <w:lang w:eastAsia="en-US"/>
    </w:rPr>
  </w:style>
  <w:style w:type="paragraph" w:styleId="26">
    <w:name w:val="Body Text Indent"/>
    <w:basedOn w:val="1"/>
    <w:link w:val="103"/>
    <w:qFormat/>
    <w:uiPriority w:val="0"/>
    <w:pPr>
      <w:widowControl w:val="0"/>
      <w:adjustRightInd w:val="0"/>
      <w:spacing w:line="360" w:lineRule="exact"/>
      <w:ind w:right="-110" w:rightChars="-42" w:firstLine="480" w:firstLineChars="0"/>
      <w:jc w:val="both"/>
      <w:textAlignment w:val="baseline"/>
    </w:pPr>
    <w:rPr>
      <w:rFonts w:eastAsia="宋体"/>
      <w:kern w:val="0"/>
      <w:sz w:val="24"/>
    </w:rPr>
  </w:style>
  <w:style w:type="paragraph" w:styleId="27">
    <w:name w:val="List 2"/>
    <w:basedOn w:val="1"/>
    <w:qFormat/>
    <w:uiPriority w:val="99"/>
    <w:pPr>
      <w:widowControl w:val="0"/>
      <w:spacing w:line="360" w:lineRule="auto"/>
      <w:ind w:left="100" w:leftChars="200" w:hanging="200" w:hangingChars="200"/>
      <w:jc w:val="both"/>
    </w:pPr>
    <w:rPr>
      <w:rFonts w:eastAsia="宋体"/>
      <w:sz w:val="24"/>
      <w:szCs w:val="24"/>
    </w:rPr>
  </w:style>
  <w:style w:type="paragraph" w:styleId="28">
    <w:name w:val="Block Text"/>
    <w:basedOn w:val="1"/>
    <w:qFormat/>
    <w:uiPriority w:val="99"/>
    <w:pPr>
      <w:spacing w:before="100" w:beforeAutospacing="1" w:after="100" w:afterAutospacing="1" w:line="360" w:lineRule="auto"/>
      <w:ind w:firstLine="0" w:firstLineChars="0"/>
    </w:pPr>
    <w:rPr>
      <w:rFonts w:ascii="宋体" w:hAnsi="宋体" w:eastAsia="宋体"/>
      <w:kern w:val="0"/>
      <w:sz w:val="24"/>
      <w:szCs w:val="24"/>
    </w:rPr>
  </w:style>
  <w:style w:type="paragraph" w:styleId="29">
    <w:name w:val="List Bullet 2"/>
    <w:basedOn w:val="1"/>
    <w:qFormat/>
    <w:uiPriority w:val="99"/>
    <w:pPr>
      <w:widowControl w:val="0"/>
      <w:numPr>
        <w:ilvl w:val="0"/>
        <w:numId w:val="4"/>
      </w:numPr>
      <w:spacing w:line="360" w:lineRule="auto"/>
      <w:jc w:val="both"/>
    </w:pPr>
    <w:rPr>
      <w:rFonts w:eastAsia="宋体"/>
      <w:sz w:val="24"/>
      <w:szCs w:val="24"/>
    </w:rPr>
  </w:style>
  <w:style w:type="paragraph" w:styleId="30">
    <w:name w:val="index 4"/>
    <w:basedOn w:val="1"/>
    <w:next w:val="1"/>
    <w:semiHidden/>
    <w:qFormat/>
    <w:uiPriority w:val="99"/>
    <w:pPr>
      <w:widowControl w:val="0"/>
      <w:spacing w:line="360" w:lineRule="auto"/>
      <w:ind w:left="600" w:leftChars="600" w:firstLine="0" w:firstLineChars="0"/>
      <w:jc w:val="both"/>
    </w:pPr>
    <w:rPr>
      <w:rFonts w:eastAsia="宋体"/>
      <w:sz w:val="24"/>
      <w:szCs w:val="24"/>
    </w:rPr>
  </w:style>
  <w:style w:type="paragraph" w:styleId="31">
    <w:name w:val="toc 5"/>
    <w:basedOn w:val="1"/>
    <w:next w:val="1"/>
    <w:qFormat/>
    <w:uiPriority w:val="39"/>
    <w:pPr>
      <w:widowControl w:val="0"/>
      <w:spacing w:line="240" w:lineRule="auto"/>
      <w:ind w:left="960" w:firstLine="0" w:firstLineChars="0"/>
    </w:pPr>
    <w:rPr>
      <w:rFonts w:eastAsia="宋体" w:asciiTheme="minorHAnsi" w:hAnsiTheme="minorHAnsi" w:cstheme="minorHAnsi"/>
      <w:sz w:val="18"/>
      <w:szCs w:val="18"/>
    </w:rPr>
  </w:style>
  <w:style w:type="paragraph" w:styleId="32">
    <w:name w:val="toc 3"/>
    <w:basedOn w:val="1"/>
    <w:next w:val="1"/>
    <w:qFormat/>
    <w:uiPriority w:val="39"/>
    <w:pPr>
      <w:widowControl w:val="0"/>
      <w:tabs>
        <w:tab w:val="left" w:pos="1134"/>
        <w:tab w:val="right" w:leader="dot" w:pos="9060"/>
      </w:tabs>
      <w:spacing w:line="360" w:lineRule="auto"/>
      <w:ind w:left="480" w:firstLine="0" w:firstLineChars="0"/>
    </w:pPr>
    <w:rPr>
      <w:rFonts w:eastAsia="宋体" w:cstheme="minorHAnsi"/>
      <w:iCs/>
      <w:sz w:val="24"/>
    </w:rPr>
  </w:style>
  <w:style w:type="paragraph" w:styleId="33">
    <w:name w:val="Plain Text"/>
    <w:basedOn w:val="1"/>
    <w:link w:val="178"/>
    <w:qFormat/>
    <w:uiPriority w:val="99"/>
    <w:pPr>
      <w:widowControl w:val="0"/>
      <w:spacing w:line="360" w:lineRule="auto"/>
      <w:ind w:firstLine="0" w:firstLineChars="0"/>
      <w:jc w:val="both"/>
    </w:pPr>
    <w:rPr>
      <w:rFonts w:ascii="宋体" w:hAnsi="Courier New" w:eastAsia="宋体"/>
      <w:kern w:val="0"/>
      <w:sz w:val="24"/>
      <w:szCs w:val="21"/>
      <w:lang w:val="zh-CN"/>
    </w:rPr>
  </w:style>
  <w:style w:type="paragraph" w:styleId="34">
    <w:name w:val="toc 8"/>
    <w:basedOn w:val="1"/>
    <w:next w:val="1"/>
    <w:qFormat/>
    <w:uiPriority w:val="39"/>
    <w:pPr>
      <w:widowControl w:val="0"/>
      <w:spacing w:line="240" w:lineRule="auto"/>
      <w:ind w:left="1680" w:firstLine="0" w:firstLineChars="0"/>
    </w:pPr>
    <w:rPr>
      <w:rFonts w:eastAsia="宋体" w:asciiTheme="minorHAnsi" w:hAnsiTheme="minorHAnsi" w:cstheme="minorHAnsi"/>
      <w:sz w:val="18"/>
      <w:szCs w:val="18"/>
    </w:rPr>
  </w:style>
  <w:style w:type="paragraph" w:styleId="35">
    <w:name w:val="index 3"/>
    <w:basedOn w:val="1"/>
    <w:next w:val="1"/>
    <w:semiHidden/>
    <w:qFormat/>
    <w:uiPriority w:val="99"/>
    <w:pPr>
      <w:widowControl w:val="0"/>
      <w:spacing w:line="360" w:lineRule="auto"/>
      <w:ind w:left="400" w:leftChars="400" w:firstLine="0" w:firstLineChars="0"/>
      <w:jc w:val="both"/>
    </w:pPr>
    <w:rPr>
      <w:rFonts w:eastAsia="宋体"/>
      <w:sz w:val="24"/>
      <w:szCs w:val="24"/>
    </w:rPr>
  </w:style>
  <w:style w:type="paragraph" w:styleId="36">
    <w:name w:val="Date"/>
    <w:basedOn w:val="1"/>
    <w:next w:val="1"/>
    <w:link w:val="102"/>
    <w:qFormat/>
    <w:uiPriority w:val="99"/>
    <w:pPr>
      <w:widowControl w:val="0"/>
      <w:spacing w:line="240" w:lineRule="auto"/>
      <w:ind w:left="100" w:leftChars="2500" w:firstLine="0" w:firstLineChars="0"/>
      <w:jc w:val="both"/>
    </w:pPr>
    <w:rPr>
      <w:rFonts w:eastAsia="宋体"/>
      <w:sz w:val="36"/>
    </w:rPr>
  </w:style>
  <w:style w:type="paragraph" w:styleId="37">
    <w:name w:val="Body Text Indent 2"/>
    <w:basedOn w:val="1"/>
    <w:link w:val="104"/>
    <w:qFormat/>
    <w:uiPriority w:val="99"/>
    <w:pPr>
      <w:widowControl w:val="0"/>
      <w:adjustRightInd w:val="0"/>
      <w:spacing w:line="340" w:lineRule="exact"/>
      <w:ind w:firstLine="603"/>
      <w:jc w:val="both"/>
      <w:textAlignment w:val="baseline"/>
    </w:pPr>
    <w:rPr>
      <w:rFonts w:ascii="宋体" w:hAnsi="宋体" w:eastAsia="宋体"/>
      <w:kern w:val="0"/>
    </w:rPr>
  </w:style>
  <w:style w:type="paragraph" w:styleId="38">
    <w:name w:val="endnote text"/>
    <w:basedOn w:val="1"/>
    <w:link w:val="199"/>
    <w:qFormat/>
    <w:uiPriority w:val="99"/>
    <w:pPr>
      <w:widowControl w:val="0"/>
      <w:snapToGrid w:val="0"/>
      <w:spacing w:line="360" w:lineRule="auto"/>
      <w:ind w:firstLine="0" w:firstLineChars="0"/>
    </w:pPr>
    <w:rPr>
      <w:rFonts w:eastAsia="宋体"/>
      <w:sz w:val="24"/>
      <w:szCs w:val="24"/>
    </w:rPr>
  </w:style>
  <w:style w:type="paragraph" w:styleId="39">
    <w:name w:val="Balloon Text"/>
    <w:basedOn w:val="1"/>
    <w:link w:val="80"/>
    <w:unhideWhenUsed/>
    <w:qFormat/>
    <w:uiPriority w:val="99"/>
    <w:rPr>
      <w:sz w:val="18"/>
      <w:szCs w:val="18"/>
    </w:rPr>
  </w:style>
  <w:style w:type="paragraph" w:styleId="40">
    <w:name w:val="footer"/>
    <w:basedOn w:val="1"/>
    <w:link w:val="79"/>
    <w:unhideWhenUsed/>
    <w:qFormat/>
    <w:uiPriority w:val="0"/>
    <w:pPr>
      <w:tabs>
        <w:tab w:val="center" w:pos="4153"/>
        <w:tab w:val="right" w:pos="8306"/>
      </w:tabs>
      <w:snapToGrid w:val="0"/>
    </w:pPr>
    <w:rPr>
      <w:sz w:val="18"/>
      <w:szCs w:val="18"/>
    </w:rPr>
  </w:style>
  <w:style w:type="paragraph" w:styleId="41">
    <w:name w:val="header"/>
    <w:basedOn w:val="1"/>
    <w:link w:val="78"/>
    <w:unhideWhenUsed/>
    <w:qFormat/>
    <w:uiPriority w:val="99"/>
    <w:pPr>
      <w:pBdr>
        <w:bottom w:val="single" w:color="auto" w:sz="6" w:space="1"/>
      </w:pBdr>
      <w:tabs>
        <w:tab w:val="center" w:pos="4153"/>
        <w:tab w:val="right" w:pos="8306"/>
      </w:tabs>
      <w:snapToGrid w:val="0"/>
      <w:jc w:val="center"/>
    </w:pPr>
    <w:rPr>
      <w:sz w:val="18"/>
      <w:szCs w:val="18"/>
    </w:rPr>
  </w:style>
  <w:style w:type="paragraph" w:styleId="42">
    <w:name w:val="toc 1"/>
    <w:basedOn w:val="1"/>
    <w:next w:val="1"/>
    <w:link w:val="114"/>
    <w:unhideWhenUsed/>
    <w:qFormat/>
    <w:uiPriority w:val="39"/>
    <w:pPr>
      <w:tabs>
        <w:tab w:val="right" w:leader="dot" w:pos="8680"/>
      </w:tabs>
      <w:ind w:firstLine="600"/>
    </w:pPr>
    <w:rPr>
      <w:rFonts w:ascii="黑体" w:hAnsi="黑体" w:eastAsia="黑体"/>
      <w:sz w:val="30"/>
      <w:szCs w:val="30"/>
    </w:rPr>
  </w:style>
  <w:style w:type="paragraph" w:styleId="43">
    <w:name w:val="toc 4"/>
    <w:basedOn w:val="1"/>
    <w:next w:val="1"/>
    <w:qFormat/>
    <w:uiPriority w:val="39"/>
    <w:pPr>
      <w:widowControl w:val="0"/>
      <w:spacing w:line="240" w:lineRule="auto"/>
      <w:ind w:left="720" w:firstLine="0" w:firstLineChars="0"/>
    </w:pPr>
    <w:rPr>
      <w:rFonts w:eastAsia="宋体" w:asciiTheme="minorHAnsi" w:hAnsiTheme="minorHAnsi" w:cstheme="minorHAnsi"/>
      <w:sz w:val="18"/>
      <w:szCs w:val="18"/>
    </w:rPr>
  </w:style>
  <w:style w:type="paragraph" w:styleId="44">
    <w:name w:val="index heading"/>
    <w:basedOn w:val="1"/>
    <w:next w:val="45"/>
    <w:semiHidden/>
    <w:qFormat/>
    <w:uiPriority w:val="99"/>
    <w:pPr>
      <w:widowControl w:val="0"/>
      <w:spacing w:line="360" w:lineRule="auto"/>
      <w:ind w:firstLine="0" w:firstLineChars="0"/>
      <w:jc w:val="both"/>
    </w:pPr>
    <w:rPr>
      <w:rFonts w:eastAsia="宋体"/>
      <w:sz w:val="24"/>
      <w:szCs w:val="24"/>
    </w:rPr>
  </w:style>
  <w:style w:type="paragraph" w:styleId="45">
    <w:name w:val="index 1"/>
    <w:basedOn w:val="1"/>
    <w:next w:val="1"/>
    <w:qFormat/>
    <w:uiPriority w:val="99"/>
    <w:pPr>
      <w:widowControl w:val="0"/>
      <w:spacing w:line="360" w:lineRule="auto"/>
      <w:ind w:firstLine="0" w:firstLineChars="0"/>
      <w:jc w:val="both"/>
    </w:pPr>
    <w:rPr>
      <w:rFonts w:eastAsia="宋体"/>
      <w:sz w:val="24"/>
      <w:szCs w:val="24"/>
    </w:rPr>
  </w:style>
  <w:style w:type="paragraph" w:styleId="46">
    <w:name w:val="Subtitle"/>
    <w:basedOn w:val="1"/>
    <w:next w:val="1"/>
    <w:link w:val="87"/>
    <w:qFormat/>
    <w:uiPriority w:val="0"/>
    <w:pPr>
      <w:spacing w:before="240" w:after="60" w:line="312" w:lineRule="atLeast"/>
      <w:ind w:left="280" w:leftChars="100" w:right="280" w:rightChars="100" w:firstLine="0" w:firstLineChars="0"/>
      <w:outlineLvl w:val="1"/>
    </w:pPr>
    <w:rPr>
      <w:rFonts w:ascii="Cambria" w:hAnsi="Cambria" w:eastAsia="黑体"/>
      <w:bCs/>
      <w:kern w:val="28"/>
      <w:sz w:val="32"/>
      <w:szCs w:val="32"/>
    </w:rPr>
  </w:style>
  <w:style w:type="paragraph" w:styleId="47">
    <w:name w:val="List"/>
    <w:basedOn w:val="1"/>
    <w:qFormat/>
    <w:uiPriority w:val="99"/>
    <w:pPr>
      <w:widowControl w:val="0"/>
      <w:spacing w:line="360" w:lineRule="auto"/>
      <w:ind w:left="200" w:hanging="200" w:hangingChars="200"/>
      <w:jc w:val="both"/>
    </w:pPr>
    <w:rPr>
      <w:rFonts w:eastAsia="宋体"/>
      <w:sz w:val="24"/>
      <w:szCs w:val="24"/>
    </w:rPr>
  </w:style>
  <w:style w:type="paragraph" w:styleId="48">
    <w:name w:val="footnote text"/>
    <w:basedOn w:val="1"/>
    <w:link w:val="200"/>
    <w:unhideWhenUsed/>
    <w:qFormat/>
    <w:uiPriority w:val="99"/>
    <w:pPr>
      <w:widowControl w:val="0"/>
      <w:snapToGrid w:val="0"/>
      <w:spacing w:line="360" w:lineRule="auto"/>
    </w:pPr>
    <w:rPr>
      <w:rFonts w:asciiTheme="minorHAnsi" w:hAnsiTheme="minorHAnsi" w:eastAsiaTheme="minorEastAsia" w:cstheme="minorBidi"/>
      <w:sz w:val="18"/>
      <w:szCs w:val="18"/>
    </w:rPr>
  </w:style>
  <w:style w:type="paragraph" w:styleId="49">
    <w:name w:val="toc 6"/>
    <w:basedOn w:val="1"/>
    <w:next w:val="1"/>
    <w:qFormat/>
    <w:uiPriority w:val="39"/>
    <w:pPr>
      <w:widowControl w:val="0"/>
      <w:spacing w:line="240" w:lineRule="auto"/>
      <w:ind w:left="1200" w:firstLine="0" w:firstLineChars="0"/>
    </w:pPr>
    <w:rPr>
      <w:rFonts w:eastAsia="宋体" w:asciiTheme="minorHAnsi" w:hAnsiTheme="minorHAnsi" w:cstheme="minorHAnsi"/>
      <w:sz w:val="18"/>
      <w:szCs w:val="18"/>
    </w:rPr>
  </w:style>
  <w:style w:type="paragraph" w:styleId="50">
    <w:name w:val="List 5"/>
    <w:basedOn w:val="1"/>
    <w:qFormat/>
    <w:uiPriority w:val="99"/>
    <w:pPr>
      <w:widowControl w:val="0"/>
      <w:spacing w:line="360" w:lineRule="auto"/>
      <w:ind w:left="100" w:leftChars="800" w:hanging="200" w:hangingChars="200"/>
      <w:jc w:val="both"/>
    </w:pPr>
    <w:rPr>
      <w:rFonts w:eastAsia="宋体"/>
      <w:sz w:val="24"/>
      <w:szCs w:val="24"/>
    </w:rPr>
  </w:style>
  <w:style w:type="paragraph" w:styleId="51">
    <w:name w:val="Body Text Indent 3"/>
    <w:basedOn w:val="1"/>
    <w:link w:val="105"/>
    <w:qFormat/>
    <w:uiPriority w:val="99"/>
    <w:pPr>
      <w:widowControl w:val="0"/>
      <w:spacing w:line="240" w:lineRule="auto"/>
      <w:ind w:firstLine="480" w:firstLineChars="0"/>
      <w:jc w:val="both"/>
    </w:pPr>
    <w:rPr>
      <w:rFonts w:ascii="宋体" w:hAnsi="宋体" w:eastAsia="宋体"/>
      <w:kern w:val="0"/>
      <w:sz w:val="24"/>
    </w:rPr>
  </w:style>
  <w:style w:type="paragraph" w:styleId="52">
    <w:name w:val="index 7"/>
    <w:basedOn w:val="1"/>
    <w:next w:val="1"/>
    <w:semiHidden/>
    <w:qFormat/>
    <w:uiPriority w:val="99"/>
    <w:pPr>
      <w:widowControl w:val="0"/>
      <w:spacing w:line="360" w:lineRule="auto"/>
      <w:ind w:left="1200" w:leftChars="1200" w:firstLine="0" w:firstLineChars="0"/>
      <w:jc w:val="both"/>
    </w:pPr>
    <w:rPr>
      <w:rFonts w:eastAsia="宋体"/>
      <w:sz w:val="24"/>
      <w:szCs w:val="24"/>
    </w:rPr>
  </w:style>
  <w:style w:type="paragraph" w:styleId="53">
    <w:name w:val="index 9"/>
    <w:basedOn w:val="1"/>
    <w:next w:val="1"/>
    <w:semiHidden/>
    <w:qFormat/>
    <w:uiPriority w:val="99"/>
    <w:pPr>
      <w:widowControl w:val="0"/>
      <w:spacing w:line="360" w:lineRule="auto"/>
      <w:ind w:left="1600" w:leftChars="1600" w:firstLine="0" w:firstLineChars="0"/>
      <w:jc w:val="both"/>
    </w:pPr>
    <w:rPr>
      <w:rFonts w:eastAsia="宋体"/>
      <w:sz w:val="24"/>
      <w:szCs w:val="24"/>
    </w:rPr>
  </w:style>
  <w:style w:type="paragraph" w:styleId="54">
    <w:name w:val="table of figures"/>
    <w:basedOn w:val="1"/>
    <w:next w:val="1"/>
    <w:link w:val="202"/>
    <w:qFormat/>
    <w:uiPriority w:val="0"/>
    <w:pPr>
      <w:widowControl w:val="0"/>
      <w:spacing w:line="240" w:lineRule="auto"/>
      <w:ind w:left="200" w:leftChars="200" w:hanging="200" w:hangingChars="200"/>
      <w:jc w:val="both"/>
    </w:pPr>
    <w:rPr>
      <w:rFonts w:eastAsia="宋体"/>
      <w:sz w:val="24"/>
    </w:rPr>
  </w:style>
  <w:style w:type="paragraph" w:styleId="55">
    <w:name w:val="toc 2"/>
    <w:basedOn w:val="1"/>
    <w:next w:val="1"/>
    <w:unhideWhenUsed/>
    <w:qFormat/>
    <w:uiPriority w:val="39"/>
    <w:pPr>
      <w:tabs>
        <w:tab w:val="right" w:leader="dot" w:pos="8296"/>
      </w:tabs>
      <w:ind w:left="560" w:leftChars="200" w:firstLine="560"/>
    </w:pPr>
  </w:style>
  <w:style w:type="paragraph" w:styleId="56">
    <w:name w:val="toc 9"/>
    <w:basedOn w:val="1"/>
    <w:next w:val="1"/>
    <w:qFormat/>
    <w:uiPriority w:val="39"/>
    <w:pPr>
      <w:widowControl w:val="0"/>
      <w:spacing w:line="240" w:lineRule="auto"/>
      <w:ind w:left="1920" w:firstLine="0" w:firstLineChars="0"/>
    </w:pPr>
    <w:rPr>
      <w:rFonts w:eastAsia="宋体" w:asciiTheme="minorHAnsi" w:hAnsiTheme="minorHAnsi" w:cstheme="minorHAnsi"/>
      <w:sz w:val="18"/>
      <w:szCs w:val="18"/>
    </w:rPr>
  </w:style>
  <w:style w:type="paragraph" w:styleId="57">
    <w:name w:val="Body Text 2"/>
    <w:basedOn w:val="1"/>
    <w:link w:val="123"/>
    <w:qFormat/>
    <w:uiPriority w:val="99"/>
    <w:pPr>
      <w:widowControl w:val="0"/>
      <w:snapToGrid w:val="0"/>
      <w:spacing w:line="360" w:lineRule="auto"/>
      <w:jc w:val="both"/>
    </w:pPr>
    <w:rPr>
      <w:rFonts w:eastAsia="宋体"/>
      <w:sz w:val="24"/>
      <w:szCs w:val="24"/>
    </w:rPr>
  </w:style>
  <w:style w:type="paragraph" w:styleId="58">
    <w:name w:val="List 4"/>
    <w:basedOn w:val="1"/>
    <w:qFormat/>
    <w:uiPriority w:val="99"/>
    <w:pPr>
      <w:widowControl w:val="0"/>
      <w:spacing w:line="360" w:lineRule="auto"/>
      <w:ind w:left="100" w:leftChars="600" w:hanging="200" w:hangingChars="200"/>
      <w:jc w:val="both"/>
    </w:pPr>
    <w:rPr>
      <w:rFonts w:eastAsia="宋体"/>
      <w:sz w:val="24"/>
      <w:szCs w:val="24"/>
    </w:rPr>
  </w:style>
  <w:style w:type="paragraph" w:styleId="59">
    <w:name w:val="List Continue 2"/>
    <w:basedOn w:val="1"/>
    <w:qFormat/>
    <w:uiPriority w:val="99"/>
    <w:pPr>
      <w:widowControl w:val="0"/>
      <w:spacing w:after="120" w:line="360" w:lineRule="auto"/>
      <w:ind w:left="840" w:leftChars="400" w:firstLine="0" w:firstLineChars="0"/>
      <w:jc w:val="both"/>
    </w:pPr>
    <w:rPr>
      <w:rFonts w:eastAsia="宋体"/>
      <w:sz w:val="24"/>
      <w:szCs w:val="24"/>
    </w:rPr>
  </w:style>
  <w:style w:type="paragraph" w:styleId="60">
    <w:name w:val="HTML Preformatted"/>
    <w:basedOn w:val="1"/>
    <w:link w:val="12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pPr>
    <w:rPr>
      <w:rFonts w:ascii="宋体" w:hAnsi="宋体" w:eastAsia="宋体" w:cs="宋体"/>
      <w:kern w:val="0"/>
      <w:sz w:val="24"/>
      <w:szCs w:val="24"/>
    </w:rPr>
  </w:style>
  <w:style w:type="paragraph" w:styleId="61">
    <w:name w:val="Normal (Web)"/>
    <w:basedOn w:val="1"/>
    <w:unhideWhenUsed/>
    <w:qFormat/>
    <w:uiPriority w:val="99"/>
    <w:pPr>
      <w:spacing w:before="100" w:beforeAutospacing="1" w:after="100" w:afterAutospacing="1" w:line="240" w:lineRule="auto"/>
      <w:ind w:firstLine="0" w:firstLineChars="0"/>
    </w:pPr>
    <w:rPr>
      <w:rFonts w:ascii="宋体" w:hAnsi="宋体" w:eastAsia="宋体" w:cs="宋体"/>
      <w:kern w:val="0"/>
      <w:sz w:val="24"/>
      <w:szCs w:val="24"/>
    </w:rPr>
  </w:style>
  <w:style w:type="paragraph" w:styleId="62">
    <w:name w:val="List Continue 3"/>
    <w:basedOn w:val="1"/>
    <w:qFormat/>
    <w:uiPriority w:val="99"/>
    <w:pPr>
      <w:widowControl w:val="0"/>
      <w:spacing w:after="120" w:line="360" w:lineRule="auto"/>
      <w:ind w:left="1260" w:leftChars="600" w:firstLine="0" w:firstLineChars="0"/>
      <w:jc w:val="both"/>
    </w:pPr>
    <w:rPr>
      <w:rFonts w:eastAsia="宋体"/>
      <w:sz w:val="24"/>
      <w:szCs w:val="24"/>
    </w:rPr>
  </w:style>
  <w:style w:type="paragraph" w:styleId="63">
    <w:name w:val="index 2"/>
    <w:basedOn w:val="1"/>
    <w:next w:val="1"/>
    <w:semiHidden/>
    <w:qFormat/>
    <w:uiPriority w:val="99"/>
    <w:pPr>
      <w:widowControl w:val="0"/>
      <w:spacing w:line="360" w:lineRule="auto"/>
      <w:ind w:left="200" w:leftChars="200" w:firstLine="0" w:firstLineChars="0"/>
      <w:jc w:val="both"/>
    </w:pPr>
    <w:rPr>
      <w:rFonts w:eastAsia="宋体"/>
      <w:sz w:val="24"/>
      <w:szCs w:val="24"/>
    </w:rPr>
  </w:style>
  <w:style w:type="paragraph" w:styleId="64">
    <w:name w:val="Title"/>
    <w:basedOn w:val="1"/>
    <w:next w:val="1"/>
    <w:link w:val="106"/>
    <w:qFormat/>
    <w:uiPriority w:val="0"/>
    <w:pPr>
      <w:widowControl w:val="0"/>
      <w:spacing w:before="240" w:after="60" w:line="240" w:lineRule="auto"/>
      <w:ind w:firstLine="0" w:firstLineChars="0"/>
      <w:jc w:val="center"/>
      <w:outlineLvl w:val="0"/>
    </w:pPr>
    <w:rPr>
      <w:rFonts w:ascii="Cambria" w:hAnsi="Cambria" w:eastAsia="宋体"/>
      <w:b/>
      <w:bCs/>
      <w:sz w:val="32"/>
      <w:szCs w:val="32"/>
    </w:rPr>
  </w:style>
  <w:style w:type="paragraph" w:styleId="65">
    <w:name w:val="annotation subject"/>
    <w:basedOn w:val="21"/>
    <w:next w:val="21"/>
    <w:link w:val="88"/>
    <w:unhideWhenUsed/>
    <w:qFormat/>
    <w:uiPriority w:val="99"/>
    <w:rPr>
      <w:b/>
      <w:bCs/>
    </w:rPr>
  </w:style>
  <w:style w:type="paragraph" w:styleId="66">
    <w:name w:val="Body Text First Indent"/>
    <w:basedOn w:val="25"/>
    <w:link w:val="205"/>
    <w:unhideWhenUsed/>
    <w:qFormat/>
    <w:uiPriority w:val="0"/>
    <w:pPr>
      <w:widowControl/>
      <w:spacing w:before="160" w:after="120"/>
      <w:ind w:firstLine="420" w:firstLineChars="100"/>
      <w:jc w:val="both"/>
    </w:pPr>
    <w:rPr>
      <w:rFonts w:asciiTheme="minorHAnsi" w:hAnsiTheme="minorHAnsi" w:eastAsiaTheme="minorEastAsia" w:cstheme="minorBidi"/>
      <w:kern w:val="2"/>
      <w:sz w:val="21"/>
      <w:szCs w:val="24"/>
      <w:lang w:eastAsia="zh-CN"/>
    </w:rPr>
  </w:style>
  <w:style w:type="table" w:styleId="68">
    <w:name w:val="Table Grid"/>
    <w:basedOn w:val="67"/>
    <w:qFormat/>
    <w:uiPriority w:val="99"/>
    <w:pPr>
      <w:widowControl w:val="0"/>
      <w:jc w:val="both"/>
    </w:pPr>
    <w:rPr>
      <w:rFonts w:ascii="Times New Roman" w:hAnsi="Times New Roman" w:eastAsia="宋体" w:cs="Times New Roman"/>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9">
    <w:name w:val="Light List Accent 3"/>
    <w:basedOn w:val="67"/>
    <w:semiHidden/>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71">
    <w:name w:val="Strong"/>
    <w:basedOn w:val="70"/>
    <w:qFormat/>
    <w:uiPriority w:val="22"/>
    <w:rPr>
      <w:b/>
      <w:bCs/>
    </w:rPr>
  </w:style>
  <w:style w:type="character" w:styleId="72">
    <w:name w:val="endnote reference"/>
    <w:qFormat/>
    <w:uiPriority w:val="0"/>
    <w:rPr>
      <w:rFonts w:eastAsia="Arial"/>
      <w:sz w:val="24"/>
      <w:vertAlign w:val="baseline"/>
    </w:rPr>
  </w:style>
  <w:style w:type="character" w:styleId="73">
    <w:name w:val="page number"/>
    <w:basedOn w:val="70"/>
    <w:qFormat/>
    <w:uiPriority w:val="0"/>
  </w:style>
  <w:style w:type="character" w:styleId="74">
    <w:name w:val="FollowedHyperlink"/>
    <w:basedOn w:val="70"/>
    <w:unhideWhenUsed/>
    <w:qFormat/>
    <w:uiPriority w:val="99"/>
    <w:rPr>
      <w:color w:val="954F72" w:themeColor="followedHyperlink"/>
      <w:u w:val="single"/>
      <w14:textFill>
        <w14:solidFill>
          <w14:schemeClr w14:val="folHlink"/>
        </w14:solidFill>
      </w14:textFill>
    </w:rPr>
  </w:style>
  <w:style w:type="character" w:styleId="75">
    <w:name w:val="Hyperlink"/>
    <w:basedOn w:val="70"/>
    <w:unhideWhenUsed/>
    <w:qFormat/>
    <w:uiPriority w:val="99"/>
    <w:rPr>
      <w:color w:val="0563C1" w:themeColor="hyperlink"/>
      <w:u w:val="single"/>
      <w14:textFill>
        <w14:solidFill>
          <w14:schemeClr w14:val="hlink"/>
        </w14:solidFill>
      </w14:textFill>
    </w:rPr>
  </w:style>
  <w:style w:type="character" w:styleId="76">
    <w:name w:val="annotation reference"/>
    <w:basedOn w:val="70"/>
    <w:qFormat/>
    <w:uiPriority w:val="0"/>
    <w:rPr>
      <w:sz w:val="21"/>
      <w:szCs w:val="21"/>
    </w:rPr>
  </w:style>
  <w:style w:type="character" w:styleId="77">
    <w:name w:val="footnote reference"/>
    <w:basedOn w:val="70"/>
    <w:unhideWhenUsed/>
    <w:qFormat/>
    <w:uiPriority w:val="0"/>
    <w:rPr>
      <w:vertAlign w:val="superscript"/>
    </w:rPr>
  </w:style>
  <w:style w:type="character" w:customStyle="1" w:styleId="78">
    <w:name w:val="页眉 Char1"/>
    <w:basedOn w:val="70"/>
    <w:link w:val="41"/>
    <w:qFormat/>
    <w:uiPriority w:val="99"/>
    <w:rPr>
      <w:sz w:val="18"/>
      <w:szCs w:val="18"/>
    </w:rPr>
  </w:style>
  <w:style w:type="character" w:customStyle="1" w:styleId="79">
    <w:name w:val="页脚 Char1"/>
    <w:basedOn w:val="70"/>
    <w:link w:val="40"/>
    <w:qFormat/>
    <w:uiPriority w:val="99"/>
    <w:rPr>
      <w:sz w:val="18"/>
      <w:szCs w:val="18"/>
    </w:rPr>
  </w:style>
  <w:style w:type="character" w:customStyle="1" w:styleId="80">
    <w:name w:val="批注框文本 Char"/>
    <w:basedOn w:val="70"/>
    <w:link w:val="39"/>
    <w:qFormat/>
    <w:uiPriority w:val="99"/>
    <w:rPr>
      <w:sz w:val="18"/>
      <w:szCs w:val="18"/>
    </w:rPr>
  </w:style>
  <w:style w:type="character" w:customStyle="1" w:styleId="81">
    <w:name w:val="标题 2 Char1"/>
    <w:basedOn w:val="70"/>
    <w:link w:val="3"/>
    <w:qFormat/>
    <w:uiPriority w:val="0"/>
    <w:rPr>
      <w:rFonts w:ascii="Arial" w:hAnsi="Arial" w:eastAsia="黑体" w:cs="Times New Roman"/>
      <w:b/>
      <w:bCs/>
      <w:sz w:val="32"/>
      <w:szCs w:val="32"/>
    </w:rPr>
  </w:style>
  <w:style w:type="character" w:customStyle="1" w:styleId="82">
    <w:name w:val="标题 3 Char1"/>
    <w:basedOn w:val="70"/>
    <w:link w:val="4"/>
    <w:qFormat/>
    <w:uiPriority w:val="0"/>
    <w:rPr>
      <w:rFonts w:ascii="Times New Roman" w:hAnsi="Times New Roman" w:eastAsia="仿宋" w:cs="Times New Roman"/>
      <w:b/>
      <w:bCs/>
      <w:sz w:val="32"/>
      <w:szCs w:val="32"/>
    </w:rPr>
  </w:style>
  <w:style w:type="paragraph" w:styleId="83">
    <w:name w:val="List Paragraph"/>
    <w:basedOn w:val="1"/>
    <w:link w:val="115"/>
    <w:qFormat/>
    <w:uiPriority w:val="1"/>
    <w:pPr>
      <w:ind w:firstLine="420"/>
    </w:pPr>
  </w:style>
  <w:style w:type="paragraph" w:customStyle="1" w:styleId="84">
    <w:name w:val="PlainText"/>
    <w:basedOn w:val="1"/>
    <w:qFormat/>
    <w:uiPriority w:val="0"/>
    <w:rPr>
      <w:rFonts w:ascii="宋体" w:hAnsi="Courier New"/>
    </w:rPr>
  </w:style>
  <w:style w:type="character" w:customStyle="1" w:styleId="85">
    <w:name w:val="正文文本 Char"/>
    <w:basedOn w:val="70"/>
    <w:link w:val="25"/>
    <w:qFormat/>
    <w:uiPriority w:val="99"/>
    <w:rPr>
      <w:rFonts w:ascii="仿宋" w:hAnsi="仿宋" w:eastAsia="仿宋" w:cs="Times New Roman"/>
      <w:kern w:val="0"/>
      <w:sz w:val="32"/>
      <w:szCs w:val="32"/>
      <w:lang w:eastAsia="en-US"/>
    </w:rPr>
  </w:style>
  <w:style w:type="character" w:customStyle="1" w:styleId="86">
    <w:name w:val="批注文字 Char"/>
    <w:basedOn w:val="70"/>
    <w:link w:val="21"/>
    <w:qFormat/>
    <w:uiPriority w:val="0"/>
    <w:rPr>
      <w:rFonts w:ascii="Times New Roman" w:hAnsi="Times New Roman" w:eastAsia="仿宋" w:cs="Times New Roman"/>
      <w:sz w:val="28"/>
      <w:szCs w:val="20"/>
    </w:rPr>
  </w:style>
  <w:style w:type="character" w:customStyle="1" w:styleId="87">
    <w:name w:val="副标题 Char"/>
    <w:basedOn w:val="70"/>
    <w:link w:val="46"/>
    <w:qFormat/>
    <w:uiPriority w:val="0"/>
    <w:rPr>
      <w:rFonts w:ascii="Cambria" w:hAnsi="Cambria" w:eastAsia="黑体" w:cs="Times New Roman"/>
      <w:bCs/>
      <w:kern w:val="28"/>
      <w:sz w:val="32"/>
      <w:szCs w:val="32"/>
    </w:rPr>
  </w:style>
  <w:style w:type="character" w:customStyle="1" w:styleId="88">
    <w:name w:val="批注主题 Char"/>
    <w:basedOn w:val="86"/>
    <w:link w:val="65"/>
    <w:qFormat/>
    <w:uiPriority w:val="99"/>
    <w:rPr>
      <w:rFonts w:ascii="Times New Roman" w:hAnsi="Times New Roman" w:eastAsia="仿宋" w:cs="Times New Roman"/>
      <w:b/>
      <w:bCs/>
      <w:sz w:val="28"/>
      <w:szCs w:val="20"/>
    </w:rPr>
  </w:style>
  <w:style w:type="paragraph" w:customStyle="1" w:styleId="89">
    <w:name w:val="修订1"/>
    <w:hidden/>
    <w:semiHidden/>
    <w:qFormat/>
    <w:uiPriority w:val="99"/>
    <w:rPr>
      <w:rFonts w:ascii="Times New Roman" w:hAnsi="Times New Roman" w:eastAsia="仿宋" w:cs="Times New Roman"/>
      <w:kern w:val="2"/>
      <w:sz w:val="28"/>
      <w:lang w:val="en-US" w:eastAsia="zh-CN" w:bidi="ar-SA"/>
    </w:rPr>
  </w:style>
  <w:style w:type="paragraph" w:customStyle="1" w:styleId="90">
    <w:name w:val="文字主体"/>
    <w:link w:val="91"/>
    <w:qFormat/>
    <w:uiPriority w:val="0"/>
    <w:pPr>
      <w:spacing w:line="360" w:lineRule="auto"/>
      <w:ind w:firstLine="560" w:firstLineChars="200"/>
    </w:pPr>
    <w:rPr>
      <w:rFonts w:ascii="Arial" w:hAnsi="Arial" w:eastAsia="仿宋_GB2312" w:cs="Arial"/>
      <w:kern w:val="2"/>
      <w:sz w:val="28"/>
      <w:szCs w:val="28"/>
      <w:lang w:val="en-US" w:eastAsia="zh-CN" w:bidi="ar-SA"/>
    </w:rPr>
  </w:style>
  <w:style w:type="character" w:customStyle="1" w:styleId="91">
    <w:name w:val="文字主体 Char"/>
    <w:link w:val="90"/>
    <w:qFormat/>
    <w:uiPriority w:val="99"/>
    <w:rPr>
      <w:rFonts w:ascii="Arial" w:hAnsi="Arial" w:eastAsia="仿宋_GB2312" w:cs="Arial"/>
      <w:sz w:val="28"/>
      <w:szCs w:val="28"/>
    </w:rPr>
  </w:style>
  <w:style w:type="character" w:customStyle="1" w:styleId="92">
    <w:name w:val="zhei1"/>
    <w:qFormat/>
    <w:uiPriority w:val="0"/>
    <w:rPr>
      <w:color w:val="4C4545"/>
      <w:sz w:val="21"/>
      <w:szCs w:val="21"/>
      <w:u w:val="none"/>
    </w:rPr>
  </w:style>
  <w:style w:type="paragraph" w:customStyle="1" w:styleId="93">
    <w:name w:val="表格内容"/>
    <w:basedOn w:val="1"/>
    <w:link w:val="94"/>
    <w:qFormat/>
    <w:uiPriority w:val="0"/>
    <w:pPr>
      <w:autoSpaceDE w:val="0"/>
      <w:autoSpaceDN w:val="0"/>
      <w:spacing w:line="240" w:lineRule="auto"/>
      <w:ind w:firstLine="0" w:firstLineChars="0"/>
      <w:jc w:val="center"/>
    </w:pPr>
    <w:rPr>
      <w:rFonts w:ascii="宋体" w:hAnsi="宋体" w:eastAsia="宋体" w:cstheme="minorBidi"/>
      <w:color w:val="000000"/>
      <w:kern w:val="0"/>
      <w:sz w:val="21"/>
      <w:szCs w:val="21"/>
      <w:lang w:eastAsia="en-US"/>
    </w:rPr>
  </w:style>
  <w:style w:type="character" w:customStyle="1" w:styleId="94">
    <w:name w:val="表格内容 Char"/>
    <w:link w:val="93"/>
    <w:qFormat/>
    <w:uiPriority w:val="0"/>
    <w:rPr>
      <w:rFonts w:ascii="宋体" w:hAnsi="宋体" w:eastAsia="宋体"/>
      <w:color w:val="000000"/>
      <w:kern w:val="0"/>
      <w:szCs w:val="21"/>
      <w:lang w:eastAsia="en-US"/>
    </w:rPr>
  </w:style>
  <w:style w:type="character" w:customStyle="1" w:styleId="95">
    <w:name w:val="标题 1 Char2"/>
    <w:basedOn w:val="70"/>
    <w:link w:val="2"/>
    <w:qFormat/>
    <w:uiPriority w:val="0"/>
    <w:rPr>
      <w:rFonts w:ascii="黑体" w:hAnsi="宋体" w:eastAsia="黑体" w:cs="Times New Roman"/>
      <w:b/>
      <w:kern w:val="44"/>
      <w:sz w:val="36"/>
      <w:szCs w:val="20"/>
    </w:rPr>
  </w:style>
  <w:style w:type="character" w:customStyle="1" w:styleId="96">
    <w:name w:val="标题 4 Char1"/>
    <w:basedOn w:val="70"/>
    <w:link w:val="5"/>
    <w:qFormat/>
    <w:uiPriority w:val="0"/>
    <w:rPr>
      <w:rFonts w:ascii="宋体" w:hAnsi="宋体" w:eastAsia="宋体" w:cs="Times New Roman"/>
      <w:sz w:val="24"/>
      <w:szCs w:val="20"/>
    </w:rPr>
  </w:style>
  <w:style w:type="character" w:customStyle="1" w:styleId="97">
    <w:name w:val="标题 5 Char1"/>
    <w:basedOn w:val="70"/>
    <w:link w:val="7"/>
    <w:qFormat/>
    <w:uiPriority w:val="0"/>
    <w:rPr>
      <w:rFonts w:ascii="Times New Roman" w:hAnsi="Times New Roman" w:eastAsia="宋体" w:cs="Times New Roman"/>
      <w:b/>
      <w:szCs w:val="20"/>
    </w:rPr>
  </w:style>
  <w:style w:type="character" w:customStyle="1" w:styleId="98">
    <w:name w:val="标题 6 Char1"/>
    <w:basedOn w:val="70"/>
    <w:link w:val="8"/>
    <w:qFormat/>
    <w:uiPriority w:val="0"/>
    <w:rPr>
      <w:rFonts w:asciiTheme="majorHAnsi" w:hAnsiTheme="majorHAnsi" w:eastAsiaTheme="majorEastAsia" w:cstheme="majorBidi"/>
      <w:b/>
      <w:bCs/>
      <w:sz w:val="24"/>
      <w:szCs w:val="24"/>
    </w:rPr>
  </w:style>
  <w:style w:type="character" w:customStyle="1" w:styleId="99">
    <w:name w:val="标题 7 Char1"/>
    <w:basedOn w:val="70"/>
    <w:link w:val="9"/>
    <w:qFormat/>
    <w:uiPriority w:val="99"/>
    <w:rPr>
      <w:b/>
      <w:bCs/>
      <w:sz w:val="24"/>
      <w:szCs w:val="24"/>
    </w:rPr>
  </w:style>
  <w:style w:type="character" w:customStyle="1" w:styleId="100">
    <w:name w:val="标题 8 Char1"/>
    <w:basedOn w:val="70"/>
    <w:link w:val="10"/>
    <w:qFormat/>
    <w:uiPriority w:val="99"/>
    <w:rPr>
      <w:rFonts w:ascii="Times New Roman" w:hAnsi="Times New Roman" w:eastAsia="宋体" w:cs="Times New Roman"/>
      <w:kern w:val="0"/>
      <w:sz w:val="24"/>
      <w:szCs w:val="24"/>
    </w:rPr>
  </w:style>
  <w:style w:type="character" w:customStyle="1" w:styleId="101">
    <w:name w:val="标题 9 Char1"/>
    <w:basedOn w:val="70"/>
    <w:link w:val="11"/>
    <w:qFormat/>
    <w:uiPriority w:val="99"/>
    <w:rPr>
      <w:rFonts w:ascii="Times New Roman" w:hAnsi="Times New Roman" w:eastAsia="宋体" w:cs="Times New Roman"/>
      <w:kern w:val="0"/>
      <w:sz w:val="24"/>
      <w:szCs w:val="24"/>
    </w:rPr>
  </w:style>
  <w:style w:type="character" w:customStyle="1" w:styleId="102">
    <w:name w:val="日期 Char"/>
    <w:basedOn w:val="70"/>
    <w:link w:val="36"/>
    <w:qFormat/>
    <w:uiPriority w:val="99"/>
    <w:rPr>
      <w:rFonts w:ascii="Times New Roman" w:hAnsi="Times New Roman" w:eastAsia="宋体" w:cs="Times New Roman"/>
      <w:sz w:val="36"/>
      <w:szCs w:val="20"/>
    </w:rPr>
  </w:style>
  <w:style w:type="character" w:customStyle="1" w:styleId="103">
    <w:name w:val="正文文本缩进 Char2"/>
    <w:basedOn w:val="70"/>
    <w:link w:val="26"/>
    <w:qFormat/>
    <w:uiPriority w:val="0"/>
    <w:rPr>
      <w:rFonts w:ascii="Times New Roman" w:hAnsi="Times New Roman" w:eastAsia="宋体" w:cs="Times New Roman"/>
      <w:kern w:val="0"/>
      <w:sz w:val="24"/>
      <w:szCs w:val="20"/>
    </w:rPr>
  </w:style>
  <w:style w:type="character" w:customStyle="1" w:styleId="104">
    <w:name w:val="正文文本缩进 2 Char"/>
    <w:basedOn w:val="70"/>
    <w:link w:val="37"/>
    <w:qFormat/>
    <w:uiPriority w:val="99"/>
    <w:rPr>
      <w:rFonts w:ascii="宋体" w:hAnsi="宋体" w:eastAsia="宋体" w:cs="Times New Roman"/>
      <w:kern w:val="0"/>
      <w:sz w:val="28"/>
      <w:szCs w:val="20"/>
    </w:rPr>
  </w:style>
  <w:style w:type="character" w:customStyle="1" w:styleId="105">
    <w:name w:val="正文文本缩进 3 Char1"/>
    <w:basedOn w:val="70"/>
    <w:link w:val="51"/>
    <w:qFormat/>
    <w:uiPriority w:val="99"/>
    <w:rPr>
      <w:rFonts w:ascii="宋体" w:hAnsi="宋体" w:eastAsia="宋体" w:cs="Times New Roman"/>
      <w:kern w:val="0"/>
      <w:sz w:val="24"/>
      <w:szCs w:val="20"/>
    </w:rPr>
  </w:style>
  <w:style w:type="character" w:customStyle="1" w:styleId="106">
    <w:name w:val="标题 Char1"/>
    <w:basedOn w:val="70"/>
    <w:link w:val="64"/>
    <w:qFormat/>
    <w:uiPriority w:val="0"/>
    <w:rPr>
      <w:rFonts w:ascii="Cambria" w:hAnsi="Cambria" w:eastAsia="宋体" w:cs="Times New Roman"/>
      <w:b/>
      <w:bCs/>
      <w:sz w:val="32"/>
      <w:szCs w:val="32"/>
    </w:rPr>
  </w:style>
  <w:style w:type="paragraph" w:customStyle="1" w:styleId="107">
    <w:name w:val="各章标题"/>
    <w:basedOn w:val="1"/>
    <w:next w:val="6"/>
    <w:qFormat/>
    <w:uiPriority w:val="99"/>
    <w:pPr>
      <w:pageBreakBefore/>
      <w:widowControl w:val="0"/>
      <w:spacing w:beforeLines="50" w:afterLines="50" w:line="240" w:lineRule="auto"/>
      <w:ind w:firstLine="0" w:firstLineChars="0"/>
      <w:jc w:val="center"/>
      <w:outlineLvl w:val="0"/>
    </w:pPr>
    <w:rPr>
      <w:rFonts w:eastAsia="黑体"/>
      <w:sz w:val="36"/>
    </w:rPr>
  </w:style>
  <w:style w:type="paragraph" w:customStyle="1" w:styleId="108">
    <w:name w:val="节1级标题"/>
    <w:basedOn w:val="1"/>
    <w:next w:val="6"/>
    <w:qFormat/>
    <w:uiPriority w:val="99"/>
    <w:pPr>
      <w:widowControl w:val="0"/>
      <w:numPr>
        <w:ilvl w:val="0"/>
        <w:numId w:val="5"/>
      </w:numPr>
      <w:spacing w:beforeLines="50" w:afterLines="50" w:line="240" w:lineRule="auto"/>
      <w:ind w:firstLine="0" w:firstLineChars="0"/>
      <w:jc w:val="both"/>
      <w:outlineLvl w:val="1"/>
    </w:pPr>
    <w:rPr>
      <w:rFonts w:eastAsia="黑体"/>
      <w:sz w:val="30"/>
    </w:rPr>
  </w:style>
  <w:style w:type="paragraph" w:customStyle="1" w:styleId="109">
    <w:name w:val="节2级标题"/>
    <w:basedOn w:val="1"/>
    <w:next w:val="6"/>
    <w:qFormat/>
    <w:uiPriority w:val="99"/>
    <w:pPr>
      <w:widowControl w:val="0"/>
      <w:spacing w:beforeLines="50" w:afterLines="50" w:line="240" w:lineRule="auto"/>
      <w:ind w:firstLine="0" w:firstLineChars="0"/>
      <w:jc w:val="both"/>
      <w:outlineLvl w:val="2"/>
    </w:pPr>
    <w:rPr>
      <w:rFonts w:eastAsia="黑体"/>
    </w:rPr>
  </w:style>
  <w:style w:type="paragraph" w:customStyle="1" w:styleId="110">
    <w:name w:val="节3级标题"/>
    <w:basedOn w:val="1"/>
    <w:next w:val="6"/>
    <w:qFormat/>
    <w:uiPriority w:val="99"/>
    <w:pPr>
      <w:widowControl w:val="0"/>
      <w:numPr>
        <w:ilvl w:val="2"/>
        <w:numId w:val="5"/>
      </w:numPr>
      <w:spacing w:beforeLines="50" w:afterLines="50" w:line="240" w:lineRule="auto"/>
      <w:ind w:firstLine="0" w:firstLineChars="0"/>
      <w:jc w:val="both"/>
      <w:outlineLvl w:val="3"/>
    </w:pPr>
    <w:rPr>
      <w:rFonts w:eastAsia="黑体"/>
      <w:sz w:val="24"/>
    </w:rPr>
  </w:style>
  <w:style w:type="paragraph" w:customStyle="1" w:styleId="111">
    <w:name w:val="其他标题"/>
    <w:basedOn w:val="1"/>
    <w:next w:val="6"/>
    <w:qFormat/>
    <w:uiPriority w:val="99"/>
    <w:pPr>
      <w:widowControl w:val="0"/>
      <w:numPr>
        <w:ilvl w:val="3"/>
        <w:numId w:val="5"/>
      </w:numPr>
      <w:spacing w:beforeLines="50" w:afterLines="50" w:line="240" w:lineRule="auto"/>
      <w:ind w:firstLine="0" w:firstLineChars="0"/>
      <w:jc w:val="both"/>
      <w:outlineLvl w:val="4"/>
    </w:pPr>
    <w:rPr>
      <w:rFonts w:eastAsia="黑体"/>
      <w:sz w:val="24"/>
    </w:rPr>
  </w:style>
  <w:style w:type="paragraph" w:customStyle="1" w:styleId="112">
    <w:name w:val="题目"/>
    <w:basedOn w:val="1"/>
    <w:next w:val="1"/>
    <w:qFormat/>
    <w:uiPriority w:val="99"/>
    <w:pPr>
      <w:widowControl w:val="0"/>
      <w:spacing w:line="240" w:lineRule="auto"/>
      <w:ind w:firstLine="0" w:firstLineChars="0"/>
      <w:jc w:val="center"/>
    </w:pPr>
    <w:rPr>
      <w:rFonts w:eastAsia="黑体"/>
      <w:sz w:val="44"/>
    </w:rPr>
  </w:style>
  <w:style w:type="paragraph" w:customStyle="1" w:styleId="113">
    <w:name w:val="TOC 标题1"/>
    <w:basedOn w:val="2"/>
    <w:next w:val="1"/>
    <w:unhideWhenUsed/>
    <w:qFormat/>
    <w:uiPriority w:val="39"/>
    <w:pPr>
      <w:widowControl/>
      <w:spacing w:before="480" w:line="276" w:lineRule="auto"/>
      <w:jc w:val="left"/>
      <w:outlineLvl w:val="9"/>
    </w:pPr>
    <w:rPr>
      <w:rFonts w:ascii="Cambria" w:hAnsi="Cambria"/>
      <w:color w:val="365F91"/>
      <w:kern w:val="0"/>
      <w:sz w:val="28"/>
      <w:szCs w:val="28"/>
    </w:rPr>
  </w:style>
  <w:style w:type="character" w:customStyle="1" w:styleId="114">
    <w:name w:val="目录 1 Char"/>
    <w:basedOn w:val="70"/>
    <w:link w:val="42"/>
    <w:qFormat/>
    <w:uiPriority w:val="39"/>
    <w:rPr>
      <w:rFonts w:ascii="黑体" w:hAnsi="黑体" w:eastAsia="黑体" w:cs="Times New Roman"/>
      <w:sz w:val="30"/>
      <w:szCs w:val="30"/>
    </w:rPr>
  </w:style>
  <w:style w:type="character" w:customStyle="1" w:styleId="115">
    <w:name w:val="列出段落 Char"/>
    <w:basedOn w:val="70"/>
    <w:link w:val="83"/>
    <w:qFormat/>
    <w:uiPriority w:val="1"/>
    <w:rPr>
      <w:rFonts w:ascii="Times New Roman" w:hAnsi="Times New Roman" w:eastAsia="仿宋" w:cs="Times New Roman"/>
      <w:sz w:val="28"/>
      <w:szCs w:val="20"/>
    </w:rPr>
  </w:style>
  <w:style w:type="character" w:customStyle="1" w:styleId="116">
    <w:name w:val="long_text"/>
    <w:basedOn w:val="70"/>
    <w:qFormat/>
    <w:uiPriority w:val="0"/>
  </w:style>
  <w:style w:type="character" w:customStyle="1" w:styleId="117">
    <w:name w:val="hps"/>
    <w:basedOn w:val="70"/>
    <w:qFormat/>
    <w:uiPriority w:val="0"/>
  </w:style>
  <w:style w:type="paragraph" w:customStyle="1" w:styleId="118">
    <w:name w:val="文档正文 Char Char Char"/>
    <w:basedOn w:val="1"/>
    <w:qFormat/>
    <w:uiPriority w:val="99"/>
    <w:pPr>
      <w:widowControl w:val="0"/>
      <w:adjustRightInd w:val="0"/>
      <w:spacing w:line="440" w:lineRule="exact"/>
      <w:ind w:firstLine="567" w:firstLineChars="0"/>
      <w:jc w:val="both"/>
      <w:textAlignment w:val="baseline"/>
    </w:pPr>
    <w:rPr>
      <w:rFonts w:ascii="Arial Narrow" w:hAnsi="Arial Narrow" w:eastAsia="宋体"/>
      <w:kern w:val="0"/>
      <w:sz w:val="24"/>
    </w:rPr>
  </w:style>
  <w:style w:type="paragraph" w:customStyle="1" w:styleId="119">
    <w:name w:val="MessageTable"/>
    <w:basedOn w:val="1"/>
    <w:qFormat/>
    <w:uiPriority w:val="99"/>
    <w:pPr>
      <w:widowControl w:val="0"/>
      <w:spacing w:line="240" w:lineRule="auto"/>
      <w:ind w:firstLine="0" w:firstLineChars="0"/>
      <w:jc w:val="center"/>
    </w:pPr>
    <w:rPr>
      <w:rFonts w:eastAsia="楷体_GB2312"/>
      <w:sz w:val="18"/>
      <w:szCs w:val="24"/>
    </w:rPr>
  </w:style>
  <w:style w:type="paragraph" w:customStyle="1" w:styleId="120">
    <w:name w:val="表格文字"/>
    <w:basedOn w:val="1"/>
    <w:link w:val="417"/>
    <w:qFormat/>
    <w:uiPriority w:val="0"/>
    <w:pPr>
      <w:widowControl w:val="0"/>
      <w:spacing w:line="360" w:lineRule="auto"/>
      <w:ind w:firstLine="0" w:firstLineChars="0"/>
      <w:jc w:val="both"/>
    </w:pPr>
    <w:rPr>
      <w:rFonts w:eastAsia="宋体"/>
      <w:sz w:val="21"/>
      <w:szCs w:val="24"/>
    </w:rPr>
  </w:style>
  <w:style w:type="paragraph" w:customStyle="1" w:styleId="121">
    <w:name w:val="程序"/>
    <w:basedOn w:val="17"/>
    <w:qFormat/>
    <w:uiPriority w:val="99"/>
    <w:pPr>
      <w:spacing w:line="360" w:lineRule="auto"/>
      <w:ind w:right="210" w:firstLine="0"/>
      <w:jc w:val="center"/>
    </w:pPr>
    <w:rPr>
      <w:rFonts w:ascii="宋体" w:hAnsi="宋体"/>
      <w:szCs w:val="24"/>
    </w:rPr>
  </w:style>
  <w:style w:type="paragraph" w:customStyle="1" w:styleId="122">
    <w:name w:val="图片文字"/>
    <w:basedOn w:val="1"/>
    <w:qFormat/>
    <w:uiPriority w:val="99"/>
    <w:pPr>
      <w:widowControl w:val="0"/>
      <w:spacing w:line="240" w:lineRule="atLeast"/>
      <w:ind w:firstLine="0" w:firstLineChars="0"/>
      <w:jc w:val="both"/>
    </w:pPr>
    <w:rPr>
      <w:rFonts w:eastAsia="宋体"/>
      <w:sz w:val="24"/>
    </w:rPr>
  </w:style>
  <w:style w:type="character" w:customStyle="1" w:styleId="123">
    <w:name w:val="正文文本 2 Char1"/>
    <w:basedOn w:val="70"/>
    <w:link w:val="57"/>
    <w:qFormat/>
    <w:uiPriority w:val="99"/>
    <w:rPr>
      <w:rFonts w:ascii="Times New Roman" w:hAnsi="Times New Roman" w:eastAsia="宋体" w:cs="Times New Roman"/>
      <w:sz w:val="24"/>
      <w:szCs w:val="24"/>
    </w:rPr>
  </w:style>
  <w:style w:type="character" w:customStyle="1" w:styleId="124">
    <w:name w:val="正文文本 3 Char1"/>
    <w:basedOn w:val="70"/>
    <w:link w:val="23"/>
    <w:qFormat/>
    <w:uiPriority w:val="99"/>
    <w:rPr>
      <w:rFonts w:ascii="Times New Roman" w:hAnsi="Times New Roman" w:eastAsia="宋体" w:cs="Times New Roman"/>
      <w:sz w:val="16"/>
      <w:szCs w:val="16"/>
    </w:rPr>
  </w:style>
  <w:style w:type="character" w:customStyle="1" w:styleId="125">
    <w:name w:val="HTML 预设格式 Char"/>
    <w:basedOn w:val="70"/>
    <w:link w:val="60"/>
    <w:qFormat/>
    <w:uiPriority w:val="0"/>
    <w:rPr>
      <w:rFonts w:ascii="宋体" w:hAnsi="宋体" w:eastAsia="宋体" w:cs="宋体"/>
      <w:kern w:val="0"/>
      <w:sz w:val="24"/>
      <w:szCs w:val="24"/>
    </w:rPr>
  </w:style>
  <w:style w:type="character" w:customStyle="1" w:styleId="126">
    <w:name w:val="文档结构图 Char"/>
    <w:basedOn w:val="70"/>
    <w:link w:val="20"/>
    <w:qFormat/>
    <w:uiPriority w:val="99"/>
    <w:rPr>
      <w:rFonts w:ascii="Times New Roman" w:hAnsi="Times New Roman" w:eastAsia="宋体" w:cs="Times New Roman"/>
      <w:szCs w:val="24"/>
      <w:shd w:val="clear" w:color="auto" w:fill="000080"/>
    </w:rPr>
  </w:style>
  <w:style w:type="character" w:customStyle="1" w:styleId="127">
    <w:name w:val="headline-content2"/>
    <w:basedOn w:val="70"/>
    <w:qFormat/>
    <w:uiPriority w:val="0"/>
  </w:style>
  <w:style w:type="paragraph" w:customStyle="1" w:styleId="128">
    <w:name w:val="图表1.1"/>
    <w:basedOn w:val="1"/>
    <w:link w:val="129"/>
    <w:qFormat/>
    <w:uiPriority w:val="0"/>
    <w:pPr>
      <w:widowControl w:val="0"/>
      <w:spacing w:line="240" w:lineRule="auto"/>
      <w:ind w:firstLine="0" w:firstLineChars="0"/>
      <w:jc w:val="center"/>
    </w:pPr>
    <w:rPr>
      <w:rFonts w:ascii="宋体" w:hAnsi="宋体" w:eastAsia="宋体"/>
      <w:sz w:val="18"/>
      <w:szCs w:val="18"/>
    </w:rPr>
  </w:style>
  <w:style w:type="character" w:customStyle="1" w:styleId="129">
    <w:name w:val="图表1.1 Char"/>
    <w:link w:val="128"/>
    <w:qFormat/>
    <w:uiPriority w:val="0"/>
    <w:rPr>
      <w:rFonts w:ascii="宋体" w:hAnsi="宋体" w:eastAsia="宋体" w:cs="Times New Roman"/>
      <w:sz w:val="18"/>
      <w:szCs w:val="18"/>
    </w:rPr>
  </w:style>
  <w:style w:type="character" w:customStyle="1" w:styleId="130">
    <w:name w:val="MTEquationSection"/>
    <w:basedOn w:val="70"/>
    <w:qFormat/>
    <w:uiPriority w:val="0"/>
    <w:rPr>
      <w:rFonts w:ascii="黑体" w:eastAsia="黑体"/>
      <w:b/>
      <w:bCs/>
      <w:vanish/>
      <w:color w:val="FF0000"/>
      <w:sz w:val="28"/>
    </w:rPr>
  </w:style>
  <w:style w:type="paragraph" w:customStyle="1" w:styleId="131">
    <w:name w:val="标题1"/>
    <w:basedOn w:val="2"/>
    <w:link w:val="132"/>
    <w:qFormat/>
    <w:uiPriority w:val="99"/>
  </w:style>
  <w:style w:type="character" w:customStyle="1" w:styleId="132">
    <w:name w:val="标题1 Char"/>
    <w:basedOn w:val="95"/>
    <w:link w:val="131"/>
    <w:qFormat/>
    <w:uiPriority w:val="99"/>
    <w:rPr>
      <w:rFonts w:ascii="黑体" w:hAnsi="宋体" w:eastAsia="黑体" w:cs="Times New Roman"/>
      <w:kern w:val="44"/>
      <w:sz w:val="36"/>
      <w:szCs w:val="20"/>
    </w:rPr>
  </w:style>
  <w:style w:type="paragraph" w:customStyle="1" w:styleId="133">
    <w:name w:val="摘要"/>
    <w:basedOn w:val="2"/>
    <w:link w:val="134"/>
    <w:qFormat/>
    <w:uiPriority w:val="99"/>
  </w:style>
  <w:style w:type="character" w:customStyle="1" w:styleId="134">
    <w:name w:val="摘要 Char"/>
    <w:basedOn w:val="95"/>
    <w:link w:val="133"/>
    <w:qFormat/>
    <w:uiPriority w:val="99"/>
    <w:rPr>
      <w:rFonts w:ascii="黑体" w:hAnsi="宋体" w:eastAsia="黑体" w:cs="Times New Roman"/>
      <w:kern w:val="44"/>
      <w:sz w:val="36"/>
      <w:szCs w:val="20"/>
    </w:rPr>
  </w:style>
  <w:style w:type="paragraph" w:customStyle="1" w:styleId="135">
    <w:name w:val="样式3"/>
    <w:basedOn w:val="83"/>
    <w:link w:val="366"/>
    <w:qFormat/>
    <w:uiPriority w:val="0"/>
    <w:pPr>
      <w:widowControl w:val="0"/>
      <w:numPr>
        <w:ilvl w:val="2"/>
        <w:numId w:val="6"/>
      </w:numPr>
      <w:tabs>
        <w:tab w:val="left" w:pos="600"/>
      </w:tabs>
      <w:spacing w:line="240" w:lineRule="auto"/>
      <w:ind w:left="0" w:firstLine="0" w:firstLineChars="0"/>
      <w:outlineLvl w:val="2"/>
    </w:pPr>
    <w:rPr>
      <w:rFonts w:eastAsia="宋体" w:cstheme="minorBidi"/>
      <w:sz w:val="21"/>
      <w:szCs w:val="22"/>
    </w:rPr>
  </w:style>
  <w:style w:type="paragraph" w:customStyle="1" w:styleId="136">
    <w:name w:val="样式2"/>
    <w:basedOn w:val="83"/>
    <w:link w:val="137"/>
    <w:qFormat/>
    <w:uiPriority w:val="99"/>
    <w:pPr>
      <w:widowControl w:val="0"/>
      <w:numPr>
        <w:ilvl w:val="1"/>
        <w:numId w:val="6"/>
      </w:numPr>
      <w:tabs>
        <w:tab w:val="left" w:pos="528"/>
      </w:tabs>
      <w:spacing w:line="240" w:lineRule="auto"/>
      <w:ind w:left="0" w:firstLine="0" w:firstLineChars="0"/>
      <w:outlineLvl w:val="1"/>
    </w:pPr>
    <w:rPr>
      <w:rFonts w:asciiTheme="majorEastAsia" w:hAnsiTheme="majorEastAsia" w:eastAsiaTheme="majorEastAsia"/>
      <w:b/>
    </w:rPr>
  </w:style>
  <w:style w:type="character" w:customStyle="1" w:styleId="137">
    <w:name w:val="样式2 Char"/>
    <w:basedOn w:val="115"/>
    <w:link w:val="136"/>
    <w:qFormat/>
    <w:uiPriority w:val="99"/>
    <w:rPr>
      <w:rFonts w:cs="Times New Roman" w:asciiTheme="majorEastAsia" w:hAnsiTheme="majorEastAsia" w:eastAsiaTheme="majorEastAsia"/>
      <w:b/>
      <w:sz w:val="28"/>
      <w:szCs w:val="20"/>
    </w:rPr>
  </w:style>
  <w:style w:type="paragraph" w:customStyle="1" w:styleId="138">
    <w:name w:val="样式1"/>
    <w:basedOn w:val="83"/>
    <w:link w:val="139"/>
    <w:qFormat/>
    <w:uiPriority w:val="99"/>
    <w:pPr>
      <w:widowControl w:val="0"/>
      <w:numPr>
        <w:ilvl w:val="0"/>
        <w:numId w:val="6"/>
      </w:numPr>
      <w:spacing w:line="240" w:lineRule="auto"/>
      <w:ind w:left="0" w:firstLine="0" w:firstLineChars="0"/>
      <w:outlineLvl w:val="0"/>
    </w:pPr>
    <w:rPr>
      <w:rFonts w:asciiTheme="majorEastAsia" w:hAnsiTheme="majorEastAsia" w:eastAsiaTheme="majorEastAsia" w:cstheme="minorBidi"/>
      <w:b/>
      <w:sz w:val="24"/>
      <w:szCs w:val="22"/>
    </w:rPr>
  </w:style>
  <w:style w:type="character" w:customStyle="1" w:styleId="139">
    <w:name w:val="样式1 Char"/>
    <w:basedOn w:val="70"/>
    <w:link w:val="138"/>
    <w:qFormat/>
    <w:uiPriority w:val="99"/>
    <w:rPr>
      <w:rFonts w:asciiTheme="majorEastAsia" w:hAnsiTheme="majorEastAsia" w:eastAsiaTheme="majorEastAsia"/>
      <w:b/>
      <w:sz w:val="24"/>
    </w:rPr>
  </w:style>
  <w:style w:type="character" w:customStyle="1" w:styleId="140">
    <w:name w:val="hit"/>
    <w:basedOn w:val="70"/>
    <w:qFormat/>
    <w:uiPriority w:val="0"/>
  </w:style>
  <w:style w:type="character" w:customStyle="1" w:styleId="141">
    <w:name w:val="apple-converted-space"/>
    <w:basedOn w:val="70"/>
    <w:qFormat/>
    <w:uiPriority w:val="0"/>
  </w:style>
  <w:style w:type="paragraph" w:customStyle="1" w:styleId="142">
    <w:name w:val="样式4"/>
    <w:basedOn w:val="42"/>
    <w:link w:val="143"/>
    <w:qFormat/>
    <w:uiPriority w:val="0"/>
    <w:pPr>
      <w:widowControl w:val="0"/>
      <w:spacing w:before="120" w:after="120" w:line="240" w:lineRule="auto"/>
      <w:ind w:firstLine="0" w:firstLineChars="0"/>
    </w:pPr>
    <w:rPr>
      <w:rFonts w:eastAsiaTheme="majorEastAsia" w:cstheme="minorHAnsi"/>
      <w:b/>
      <w:bCs/>
      <w:caps/>
      <w:sz w:val="24"/>
      <w:szCs w:val="24"/>
    </w:rPr>
  </w:style>
  <w:style w:type="character" w:customStyle="1" w:styleId="143">
    <w:name w:val="样式4 Char"/>
    <w:basedOn w:val="114"/>
    <w:link w:val="142"/>
    <w:qFormat/>
    <w:uiPriority w:val="0"/>
    <w:rPr>
      <w:rFonts w:ascii="黑体" w:hAnsi="黑体" w:eastAsiaTheme="majorEastAsia" w:cstheme="minorHAnsi"/>
      <w:b/>
      <w:bCs/>
      <w:caps/>
      <w:sz w:val="24"/>
      <w:szCs w:val="24"/>
    </w:rPr>
  </w:style>
  <w:style w:type="paragraph" w:customStyle="1" w:styleId="144">
    <w:name w:val="列出段落1"/>
    <w:basedOn w:val="1"/>
    <w:qFormat/>
    <w:uiPriority w:val="34"/>
    <w:pPr>
      <w:widowControl w:val="0"/>
      <w:spacing w:line="360" w:lineRule="auto"/>
      <w:ind w:firstLine="420"/>
      <w:jc w:val="both"/>
    </w:pPr>
    <w:rPr>
      <w:rFonts w:ascii="宋体" w:hAnsi="宋体" w:eastAsia="宋体" w:cs="宋体"/>
      <w:sz w:val="24"/>
    </w:rPr>
  </w:style>
  <w:style w:type="table" w:customStyle="1" w:styleId="145">
    <w:name w:val="网格型1"/>
    <w:basedOn w:val="6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6">
    <w:name w:val="网格型2"/>
    <w:basedOn w:val="6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7">
    <w:name w:val="网格型3"/>
    <w:basedOn w:val="6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8">
    <w:name w:val="网格型4"/>
    <w:basedOn w:val="67"/>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9">
    <w:name w:val="正文1"/>
    <w:basedOn w:val="1"/>
    <w:link w:val="150"/>
    <w:qFormat/>
    <w:uiPriority w:val="0"/>
    <w:pPr>
      <w:widowControl w:val="0"/>
      <w:spacing w:line="360" w:lineRule="auto"/>
      <w:jc w:val="both"/>
    </w:pPr>
    <w:rPr>
      <w:rFonts w:eastAsia="宋体"/>
      <w:sz w:val="24"/>
      <w:szCs w:val="24"/>
    </w:rPr>
  </w:style>
  <w:style w:type="character" w:customStyle="1" w:styleId="150">
    <w:name w:val="正文1 Char"/>
    <w:link w:val="149"/>
    <w:qFormat/>
    <w:uiPriority w:val="0"/>
    <w:rPr>
      <w:rFonts w:ascii="Times New Roman" w:hAnsi="Times New Roman" w:eastAsia="宋体" w:cs="Times New Roman"/>
      <w:sz w:val="24"/>
      <w:szCs w:val="24"/>
    </w:rPr>
  </w:style>
  <w:style w:type="paragraph" w:customStyle="1" w:styleId="151">
    <w:name w:val="MTDisplayEquation"/>
    <w:basedOn w:val="1"/>
    <w:next w:val="1"/>
    <w:link w:val="152"/>
    <w:qFormat/>
    <w:uiPriority w:val="0"/>
    <w:pPr>
      <w:tabs>
        <w:tab w:val="center" w:pos="4200"/>
        <w:tab w:val="right" w:pos="8400"/>
      </w:tabs>
      <w:spacing w:before="160" w:after="160" w:line="360" w:lineRule="auto"/>
      <w:ind w:firstLine="480"/>
      <w:jc w:val="both"/>
    </w:pPr>
    <w:rPr>
      <w:rFonts w:eastAsia="宋体"/>
      <w:kern w:val="0"/>
      <w:sz w:val="24"/>
      <w:szCs w:val="22"/>
      <w:lang w:val="zh-CN"/>
    </w:rPr>
  </w:style>
  <w:style w:type="character" w:customStyle="1" w:styleId="152">
    <w:name w:val="MTDisplayEquation Char"/>
    <w:link w:val="151"/>
    <w:qFormat/>
    <w:uiPriority w:val="0"/>
    <w:rPr>
      <w:rFonts w:ascii="Times New Roman" w:hAnsi="Times New Roman" w:eastAsia="宋体" w:cs="Times New Roman"/>
      <w:kern w:val="0"/>
      <w:sz w:val="24"/>
      <w:lang w:val="zh-CN" w:eastAsia="zh-CN"/>
    </w:rPr>
  </w:style>
  <w:style w:type="paragraph" w:customStyle="1" w:styleId="153">
    <w:name w:val="图表"/>
    <w:basedOn w:val="18"/>
    <w:link w:val="154"/>
    <w:qFormat/>
    <w:uiPriority w:val="0"/>
    <w:pPr>
      <w:widowControl/>
      <w:snapToGrid/>
      <w:spacing w:before="160" w:after="160"/>
      <w:ind w:firstLine="200" w:firstLineChars="200"/>
    </w:pPr>
    <w:rPr>
      <w:rFonts w:cs="Times New Roman"/>
      <w:kern w:val="0"/>
      <w:szCs w:val="21"/>
      <w:lang w:val="zh-CN"/>
    </w:rPr>
  </w:style>
  <w:style w:type="character" w:customStyle="1" w:styleId="154">
    <w:name w:val="图表 Char"/>
    <w:link w:val="153"/>
    <w:qFormat/>
    <w:uiPriority w:val="0"/>
    <w:rPr>
      <w:rFonts w:ascii="宋体" w:hAnsi="宋体" w:eastAsia="宋体" w:cs="Times New Roman"/>
      <w:b/>
      <w:kern w:val="0"/>
      <w:szCs w:val="21"/>
      <w:lang w:val="zh-CN" w:eastAsia="zh-CN"/>
    </w:rPr>
  </w:style>
  <w:style w:type="paragraph" w:customStyle="1" w:styleId="155">
    <w:name w:val="方框标题"/>
    <w:basedOn w:val="1"/>
    <w:next w:val="1"/>
    <w:qFormat/>
    <w:uiPriority w:val="99"/>
    <w:pPr>
      <w:widowControl w:val="0"/>
      <w:numPr>
        <w:ilvl w:val="0"/>
        <w:numId w:val="7"/>
      </w:numPr>
      <w:autoSpaceDE w:val="0"/>
      <w:autoSpaceDN w:val="0"/>
      <w:spacing w:line="360" w:lineRule="auto"/>
      <w:ind w:firstLine="0" w:firstLineChars="0"/>
      <w:jc w:val="both"/>
    </w:pPr>
    <w:rPr>
      <w:rFonts w:eastAsia="黑体"/>
      <w:sz w:val="21"/>
      <w:szCs w:val="24"/>
    </w:rPr>
  </w:style>
  <w:style w:type="paragraph" w:customStyle="1" w:styleId="156">
    <w:name w:val="标3"/>
    <w:basedOn w:val="4"/>
    <w:qFormat/>
    <w:uiPriority w:val="99"/>
    <w:pPr>
      <w:widowControl w:val="0"/>
      <w:spacing w:before="0" w:beforeLines="50" w:after="0" w:line="360" w:lineRule="auto"/>
      <w:jc w:val="both"/>
    </w:pPr>
    <w:rPr>
      <w:rFonts w:cs="宋体" w:asciiTheme="minorHAnsi" w:hAnsiTheme="minorHAnsi" w:eastAsiaTheme="majorEastAsia"/>
      <w:b w:val="0"/>
      <w:caps/>
      <w:sz w:val="28"/>
      <w:szCs w:val="24"/>
    </w:rPr>
  </w:style>
  <w:style w:type="character" w:customStyle="1" w:styleId="157">
    <w:name w:val="标题 2 Char"/>
    <w:qFormat/>
    <w:uiPriority w:val="9"/>
    <w:rPr>
      <w:rFonts w:ascii="宋体" w:hAnsi="宋体" w:eastAsia="宋体" w:cs="Times New Roman"/>
      <w:b/>
      <w:bCs/>
      <w:kern w:val="0"/>
      <w:sz w:val="30"/>
      <w:szCs w:val="24"/>
      <w:lang w:val="zh-CN" w:eastAsia="zh-CN"/>
    </w:rPr>
  </w:style>
  <w:style w:type="character" w:customStyle="1" w:styleId="158">
    <w:name w:val="标题 3 Char"/>
    <w:qFormat/>
    <w:uiPriority w:val="9"/>
    <w:rPr>
      <w:rFonts w:ascii="宋体" w:hAnsi="宋体" w:eastAsia="宋体" w:cs="Times New Roman"/>
      <w:b/>
      <w:bCs/>
      <w:kern w:val="0"/>
      <w:sz w:val="28"/>
      <w:szCs w:val="24"/>
      <w:lang w:val="zh-CN" w:eastAsia="zh-CN"/>
    </w:rPr>
  </w:style>
  <w:style w:type="character" w:customStyle="1" w:styleId="159">
    <w:name w:val="标题 4 Char"/>
    <w:qFormat/>
    <w:uiPriority w:val="0"/>
    <w:rPr>
      <w:rFonts w:ascii="宋体" w:hAnsi="宋体" w:eastAsia="宋体" w:cs="Times New Roman"/>
      <w:b/>
      <w:bCs/>
      <w:kern w:val="0"/>
      <w:sz w:val="24"/>
      <w:szCs w:val="24"/>
      <w:lang w:val="zh-CN" w:eastAsia="zh-CN"/>
    </w:rPr>
  </w:style>
  <w:style w:type="character" w:customStyle="1" w:styleId="160">
    <w:name w:val="标题 6 Char"/>
    <w:qFormat/>
    <w:uiPriority w:val="0"/>
    <w:rPr>
      <w:rFonts w:ascii="Arial" w:hAnsi="Arial" w:eastAsia="宋体" w:cs="Times New Roman"/>
      <w:b/>
      <w:bCs/>
      <w:kern w:val="0"/>
      <w:sz w:val="24"/>
      <w:szCs w:val="24"/>
      <w:lang w:val="zh-CN" w:eastAsia="zh-CN"/>
    </w:rPr>
  </w:style>
  <w:style w:type="character" w:customStyle="1" w:styleId="161">
    <w:name w:val="标题 5 Char"/>
    <w:qFormat/>
    <w:uiPriority w:val="0"/>
    <w:rPr>
      <w:rFonts w:ascii="Calibri" w:hAnsi="Calibri" w:eastAsia="宋体" w:cs="Times New Roman"/>
      <w:b/>
      <w:bCs/>
      <w:kern w:val="0"/>
      <w:sz w:val="28"/>
      <w:szCs w:val="28"/>
      <w:lang w:val="zh-CN" w:eastAsia="zh-CN"/>
    </w:rPr>
  </w:style>
  <w:style w:type="character" w:customStyle="1" w:styleId="162">
    <w:name w:val="正文文本 2 Char"/>
    <w:basedOn w:val="70"/>
    <w:qFormat/>
    <w:uiPriority w:val="0"/>
    <w:rPr>
      <w:rFonts w:ascii="Calibri" w:hAnsi="Calibri" w:eastAsia="宋体" w:cs="Times New Roman"/>
      <w:sz w:val="24"/>
    </w:rPr>
  </w:style>
  <w:style w:type="character" w:customStyle="1" w:styleId="163">
    <w:name w:val="正文文本缩进 Char"/>
    <w:basedOn w:val="70"/>
    <w:qFormat/>
    <w:uiPriority w:val="0"/>
    <w:rPr>
      <w:rFonts w:ascii="Calibri" w:hAnsi="Calibri" w:eastAsia="宋体" w:cs="Times New Roman"/>
      <w:sz w:val="24"/>
    </w:rPr>
  </w:style>
  <w:style w:type="character" w:customStyle="1" w:styleId="164">
    <w:name w:val="doc1"/>
    <w:qFormat/>
    <w:uiPriority w:val="0"/>
    <w:rPr>
      <w:rFonts w:hint="default"/>
      <w:color w:val="000000"/>
      <w:sz w:val="18"/>
      <w:szCs w:val="18"/>
      <w:u w:val="none"/>
    </w:rPr>
  </w:style>
  <w:style w:type="character" w:customStyle="1" w:styleId="165">
    <w:name w:val="myp111"/>
    <w:basedOn w:val="70"/>
    <w:qFormat/>
    <w:uiPriority w:val="0"/>
  </w:style>
  <w:style w:type="character" w:customStyle="1" w:styleId="166">
    <w:name w:val="标题 1 Char"/>
    <w:qFormat/>
    <w:uiPriority w:val="9"/>
    <w:rPr>
      <w:rFonts w:ascii="宋体" w:hAnsi="宋体" w:eastAsia="宋体" w:cs="Times New Roman"/>
      <w:b/>
      <w:bCs/>
      <w:kern w:val="44"/>
      <w:sz w:val="32"/>
      <w:szCs w:val="44"/>
      <w:lang w:val="zh-CN" w:eastAsia="zh-CN"/>
    </w:rPr>
  </w:style>
  <w:style w:type="character" w:customStyle="1" w:styleId="167">
    <w:name w:val="标题 7 Char"/>
    <w:qFormat/>
    <w:uiPriority w:val="0"/>
    <w:rPr>
      <w:rFonts w:ascii="Times New Roman" w:hAnsi="Times New Roman" w:eastAsia="宋体" w:cs="Times New Roman"/>
      <w:b/>
      <w:bCs/>
      <w:kern w:val="0"/>
      <w:sz w:val="24"/>
      <w:szCs w:val="24"/>
      <w:lang w:val="zh-CN" w:eastAsia="zh-CN"/>
    </w:rPr>
  </w:style>
  <w:style w:type="character" w:customStyle="1" w:styleId="168">
    <w:name w:val="标题 8 Char"/>
    <w:qFormat/>
    <w:uiPriority w:val="0"/>
    <w:rPr>
      <w:rFonts w:ascii="Arial" w:hAnsi="Arial" w:eastAsia="黑体" w:cs="Times New Roman"/>
      <w:kern w:val="0"/>
      <w:sz w:val="24"/>
      <w:szCs w:val="24"/>
      <w:lang w:val="zh-CN" w:eastAsia="zh-CN"/>
    </w:rPr>
  </w:style>
  <w:style w:type="character" w:customStyle="1" w:styleId="169">
    <w:name w:val="标题 9 Char"/>
    <w:qFormat/>
    <w:uiPriority w:val="0"/>
    <w:rPr>
      <w:rFonts w:ascii="Arial" w:hAnsi="Arial" w:eastAsia="黑体" w:cs="Times New Roman"/>
      <w:kern w:val="0"/>
      <w:sz w:val="24"/>
      <w:szCs w:val="21"/>
      <w:lang w:val="zh-CN" w:eastAsia="zh-CN"/>
    </w:rPr>
  </w:style>
  <w:style w:type="character" w:customStyle="1" w:styleId="170">
    <w:name w:val="font1"/>
    <w:qFormat/>
    <w:uiPriority w:val="0"/>
    <w:rPr>
      <w:szCs w:val="21"/>
    </w:rPr>
  </w:style>
  <w:style w:type="paragraph" w:customStyle="1" w:styleId="171">
    <w:name w:val="font"/>
    <w:basedOn w:val="1"/>
    <w:qFormat/>
    <w:uiPriority w:val="99"/>
    <w:pPr>
      <w:spacing w:before="100" w:beforeAutospacing="1" w:after="100" w:afterAutospacing="1" w:line="360" w:lineRule="auto"/>
      <w:ind w:firstLine="0" w:firstLineChars="0"/>
    </w:pPr>
    <w:rPr>
      <w:rFonts w:hint="eastAsia" w:ascii="宋体" w:hAnsi="宋体" w:eastAsia="宋体"/>
      <w:kern w:val="0"/>
      <w:sz w:val="24"/>
      <w:szCs w:val="21"/>
    </w:rPr>
  </w:style>
  <w:style w:type="paragraph" w:customStyle="1" w:styleId="172">
    <w:name w:val="a01"/>
    <w:basedOn w:val="1"/>
    <w:qFormat/>
    <w:uiPriority w:val="99"/>
    <w:pPr>
      <w:spacing w:before="100" w:beforeAutospacing="1" w:after="100" w:afterAutospacing="1" w:line="360" w:lineRule="auto"/>
      <w:ind w:firstLine="0" w:firstLineChars="0"/>
    </w:pPr>
    <w:rPr>
      <w:rFonts w:ascii="宋体" w:hAnsi="宋体" w:eastAsia="宋体"/>
      <w:color w:val="FFFFFF"/>
      <w:kern w:val="0"/>
      <w:sz w:val="24"/>
      <w:szCs w:val="24"/>
    </w:rPr>
  </w:style>
  <w:style w:type="paragraph" w:customStyle="1" w:styleId="173">
    <w:name w:val="a03"/>
    <w:basedOn w:val="1"/>
    <w:qFormat/>
    <w:uiPriority w:val="99"/>
    <w:pPr>
      <w:spacing w:before="100" w:beforeAutospacing="1" w:after="100" w:afterAutospacing="1" w:line="360" w:lineRule="auto"/>
      <w:ind w:firstLine="0" w:firstLineChars="0"/>
    </w:pPr>
    <w:rPr>
      <w:rFonts w:ascii="宋体" w:hAnsi="宋体" w:eastAsia="宋体"/>
      <w:color w:val="0000FF"/>
      <w:kern w:val="0"/>
      <w:sz w:val="24"/>
      <w:szCs w:val="24"/>
    </w:rPr>
  </w:style>
  <w:style w:type="paragraph" w:customStyle="1" w:styleId="174">
    <w:name w:val="s1"/>
    <w:basedOn w:val="1"/>
    <w:qFormat/>
    <w:uiPriority w:val="99"/>
    <w:pPr>
      <w:spacing w:before="100" w:beforeAutospacing="1" w:after="100" w:afterAutospacing="1" w:line="300" w:lineRule="atLeast"/>
      <w:ind w:firstLine="300" w:firstLineChars="0"/>
    </w:pPr>
    <w:rPr>
      <w:rFonts w:ascii="宋体" w:hAnsi="宋体" w:eastAsia="宋体"/>
      <w:kern w:val="0"/>
      <w:sz w:val="24"/>
      <w:szCs w:val="24"/>
    </w:rPr>
  </w:style>
  <w:style w:type="paragraph" w:customStyle="1" w:styleId="175">
    <w:name w:val="ft11"/>
    <w:basedOn w:val="1"/>
    <w:qFormat/>
    <w:uiPriority w:val="99"/>
    <w:pPr>
      <w:spacing w:before="100" w:beforeAutospacing="1" w:after="100" w:afterAutospacing="1" w:line="432" w:lineRule="auto"/>
      <w:ind w:firstLine="0" w:firstLineChars="0"/>
    </w:pPr>
    <w:rPr>
      <w:rFonts w:ascii="宋体" w:hAnsi="宋体" w:eastAsia="宋体"/>
      <w:color w:val="000000"/>
      <w:kern w:val="0"/>
      <w:sz w:val="22"/>
      <w:szCs w:val="22"/>
    </w:rPr>
  </w:style>
  <w:style w:type="character" w:customStyle="1" w:styleId="176">
    <w:name w:val="页眉 Char"/>
    <w:qFormat/>
    <w:uiPriority w:val="0"/>
    <w:rPr>
      <w:rFonts w:ascii="宋体" w:hAnsi="宋体" w:eastAsia="宋体" w:cs="Times New Roman"/>
      <w:kern w:val="0"/>
      <w:sz w:val="24"/>
      <w:szCs w:val="24"/>
      <w:lang w:val="zh-CN" w:eastAsia="zh-CN"/>
    </w:rPr>
  </w:style>
  <w:style w:type="character" w:customStyle="1" w:styleId="177">
    <w:name w:val="纯文本 字符"/>
    <w:basedOn w:val="70"/>
    <w:qFormat/>
    <w:uiPriority w:val="0"/>
    <w:rPr>
      <w:rFonts w:hAnsi="Courier New" w:cs="Courier New" w:asciiTheme="minorEastAsia"/>
      <w:sz w:val="28"/>
      <w:szCs w:val="20"/>
    </w:rPr>
  </w:style>
  <w:style w:type="character" w:customStyle="1" w:styleId="178">
    <w:name w:val="纯文本 Char"/>
    <w:link w:val="33"/>
    <w:qFormat/>
    <w:uiPriority w:val="99"/>
    <w:rPr>
      <w:rFonts w:ascii="宋体" w:hAnsi="Courier New" w:eastAsia="宋体" w:cs="Times New Roman"/>
      <w:kern w:val="0"/>
      <w:sz w:val="24"/>
      <w:szCs w:val="21"/>
      <w:lang w:val="zh-CN" w:eastAsia="zh-CN"/>
    </w:rPr>
  </w:style>
  <w:style w:type="character" w:customStyle="1" w:styleId="179">
    <w:name w:val="正文文本缩进 3 Char"/>
    <w:qFormat/>
    <w:uiPriority w:val="0"/>
    <w:rPr>
      <w:rFonts w:ascii="Times New Roman" w:hAnsi="Times New Roman" w:eastAsia="宋体" w:cs="Times New Roman"/>
      <w:color w:val="993300"/>
      <w:kern w:val="0"/>
      <w:sz w:val="20"/>
      <w:szCs w:val="20"/>
      <w:lang w:val="zh-CN" w:eastAsia="zh-CN"/>
    </w:rPr>
  </w:style>
  <w:style w:type="paragraph" w:customStyle="1" w:styleId="180">
    <w:name w:val="样式 标题 2 + 首行缩进:  2 字符 段前: 0.5 行 段后: 0.5 行"/>
    <w:basedOn w:val="3"/>
    <w:qFormat/>
    <w:uiPriority w:val="99"/>
    <w:pPr>
      <w:widowControl w:val="0"/>
      <w:tabs>
        <w:tab w:val="left" w:pos="7290"/>
      </w:tabs>
      <w:spacing w:before="240" w:beforeAutospacing="1" w:after="240" w:afterAutospacing="1" w:line="360" w:lineRule="auto"/>
      <w:jc w:val="both"/>
    </w:pPr>
    <w:rPr>
      <w:rFonts w:ascii="黑体" w:hAnsi="黑体"/>
      <w:b w:val="0"/>
      <w:bCs w:val="0"/>
      <w:kern w:val="0"/>
      <w:sz w:val="30"/>
      <w:szCs w:val="30"/>
      <w:lang w:val="zh-CN"/>
    </w:rPr>
  </w:style>
  <w:style w:type="paragraph" w:customStyle="1" w:styleId="181">
    <w:name w:val="简单回函地址"/>
    <w:basedOn w:val="1"/>
    <w:qFormat/>
    <w:uiPriority w:val="99"/>
    <w:pPr>
      <w:widowControl w:val="0"/>
      <w:spacing w:line="360" w:lineRule="auto"/>
      <w:ind w:firstLine="0" w:firstLineChars="0"/>
      <w:jc w:val="both"/>
    </w:pPr>
    <w:rPr>
      <w:rFonts w:eastAsia="宋体"/>
      <w:sz w:val="24"/>
      <w:szCs w:val="24"/>
    </w:rPr>
  </w:style>
  <w:style w:type="character" w:customStyle="1" w:styleId="182">
    <w:name w:val="标题 Char"/>
    <w:qFormat/>
    <w:uiPriority w:val="0"/>
    <w:rPr>
      <w:rFonts w:ascii="Arial" w:hAnsi="Arial" w:eastAsia="宋体" w:cs="Times New Roman"/>
      <w:b/>
      <w:bCs/>
      <w:kern w:val="0"/>
      <w:sz w:val="32"/>
      <w:szCs w:val="32"/>
      <w:lang w:val="zh-CN" w:eastAsia="zh-CN"/>
    </w:rPr>
  </w:style>
  <w:style w:type="character" w:customStyle="1" w:styleId="183">
    <w:name w:val="large1"/>
    <w:qFormat/>
    <w:uiPriority w:val="0"/>
    <w:rPr>
      <w:rFonts w:hint="eastAsia" w:ascii="宋体" w:hAnsi="宋体" w:eastAsia="宋体"/>
      <w:sz w:val="19"/>
      <w:szCs w:val="19"/>
    </w:rPr>
  </w:style>
  <w:style w:type="character" w:customStyle="1" w:styleId="184">
    <w:name w:val="页脚 Char"/>
    <w:qFormat/>
    <w:uiPriority w:val="0"/>
    <w:rPr>
      <w:rFonts w:ascii="Times New Roman" w:hAnsi="Times New Roman" w:eastAsia="宋体" w:cs="Times New Roman"/>
      <w:kern w:val="0"/>
      <w:sz w:val="18"/>
      <w:szCs w:val="18"/>
      <w:lang w:val="zh-CN" w:eastAsia="zh-CN"/>
    </w:rPr>
  </w:style>
  <w:style w:type="character" w:customStyle="1" w:styleId="185">
    <w:name w:val="正文文本 3 Char"/>
    <w:qFormat/>
    <w:uiPriority w:val="0"/>
    <w:rPr>
      <w:rFonts w:ascii="Times New Roman" w:hAnsi="Times New Roman" w:eastAsia="宋体" w:cs="Times New Roman"/>
      <w:kern w:val="0"/>
      <w:sz w:val="16"/>
      <w:szCs w:val="16"/>
      <w:lang w:val="zh-CN" w:eastAsia="zh-CN"/>
    </w:rPr>
  </w:style>
  <w:style w:type="character" w:customStyle="1" w:styleId="186">
    <w:name w:val="title1"/>
    <w:qFormat/>
    <w:uiPriority w:val="0"/>
    <w:rPr>
      <w:rFonts w:hint="eastAsia" w:ascii="黑体" w:eastAsia="黑体"/>
      <w:sz w:val="24"/>
      <w:szCs w:val="24"/>
    </w:rPr>
  </w:style>
  <w:style w:type="character" w:customStyle="1" w:styleId="187">
    <w:name w:val="项目符号 Char"/>
    <w:link w:val="188"/>
    <w:qFormat/>
    <w:locked/>
    <w:uiPriority w:val="99"/>
    <w:rPr>
      <w:rFonts w:ascii="宋体" w:hAnsi="宋体"/>
      <w:color w:val="000000"/>
      <w:szCs w:val="24"/>
      <w:lang w:val="zh-CN" w:eastAsia="zh-CN"/>
    </w:rPr>
  </w:style>
  <w:style w:type="paragraph" w:customStyle="1" w:styleId="188">
    <w:name w:val="项目符号"/>
    <w:basedOn w:val="1"/>
    <w:link w:val="187"/>
    <w:qFormat/>
    <w:uiPriority w:val="99"/>
    <w:pPr>
      <w:widowControl w:val="0"/>
      <w:numPr>
        <w:ilvl w:val="0"/>
        <w:numId w:val="8"/>
      </w:numPr>
      <w:spacing w:line="360" w:lineRule="auto"/>
      <w:ind w:firstLine="0" w:firstLineChars="0"/>
      <w:jc w:val="both"/>
    </w:pPr>
    <w:rPr>
      <w:rFonts w:ascii="宋体" w:hAnsi="宋体" w:eastAsiaTheme="minorEastAsia" w:cstheme="minorBidi"/>
      <w:color w:val="000000"/>
      <w:sz w:val="21"/>
      <w:szCs w:val="24"/>
      <w:lang w:val="zh-CN"/>
    </w:rPr>
  </w:style>
  <w:style w:type="character" w:customStyle="1" w:styleId="189">
    <w:name w:val="samplecode"/>
    <w:basedOn w:val="70"/>
    <w:qFormat/>
    <w:uiPriority w:val="0"/>
  </w:style>
  <w:style w:type="paragraph" w:customStyle="1" w:styleId="190">
    <w:name w:val="正文2 Char Char Char Char Char Char Char Char Char Char Char Char1 Char Char Char Char Char Char Char Char1 Char Char Char Char Char Char"/>
    <w:basedOn w:val="1"/>
    <w:qFormat/>
    <w:uiPriority w:val="99"/>
    <w:pPr>
      <w:autoSpaceDE w:val="0"/>
      <w:autoSpaceDN w:val="0"/>
      <w:adjustRightInd w:val="0"/>
      <w:spacing w:line="300" w:lineRule="exact"/>
      <w:ind w:firstLine="0" w:firstLineChars="0"/>
      <w:jc w:val="center"/>
    </w:pPr>
    <w:rPr>
      <w:rFonts w:ascii="Verdana" w:hAnsi="Verdana" w:eastAsia="宋体"/>
      <w:kern w:val="0"/>
      <w:sz w:val="24"/>
      <w:lang w:eastAsia="en-US"/>
    </w:rPr>
  </w:style>
  <w:style w:type="paragraph" w:customStyle="1" w:styleId="191">
    <w:name w:val="样式 标题 3 + 首行缩进:  1.5 字符"/>
    <w:basedOn w:val="4"/>
    <w:qFormat/>
    <w:uiPriority w:val="99"/>
    <w:pPr>
      <w:widowControl w:val="0"/>
      <w:spacing w:line="360" w:lineRule="auto"/>
      <w:ind w:firstLine="0" w:firstLineChars="0"/>
    </w:pPr>
    <w:rPr>
      <w:rFonts w:ascii="宋体" w:hAnsi="宋体" w:eastAsia="宋体" w:cs="宋体"/>
      <w:bCs w:val="0"/>
      <w:sz w:val="30"/>
      <w:szCs w:val="24"/>
    </w:rPr>
  </w:style>
  <w:style w:type="paragraph" w:customStyle="1" w:styleId="192">
    <w:name w:val="标题6"/>
    <w:basedOn w:val="1"/>
    <w:next w:val="1"/>
    <w:qFormat/>
    <w:uiPriority w:val="99"/>
    <w:pPr>
      <w:widowControl w:val="0"/>
      <w:spacing w:line="360" w:lineRule="auto"/>
      <w:jc w:val="both"/>
      <w:outlineLvl w:val="5"/>
    </w:pPr>
    <w:rPr>
      <w:rFonts w:eastAsia="楷体_GB2312"/>
      <w:sz w:val="24"/>
      <w:szCs w:val="24"/>
    </w:rPr>
  </w:style>
  <w:style w:type="paragraph" w:styleId="193">
    <w:name w:val="No Spacing"/>
    <w:link w:val="194"/>
    <w:qFormat/>
    <w:uiPriority w:val="0"/>
    <w:rPr>
      <w:rFonts w:ascii="Calibri" w:hAnsi="Calibri" w:eastAsia="宋体" w:cs="Times New Roman"/>
      <w:sz w:val="22"/>
      <w:szCs w:val="22"/>
      <w:lang w:val="en-US" w:eastAsia="zh-CN" w:bidi="ar-SA"/>
    </w:rPr>
  </w:style>
  <w:style w:type="character" w:customStyle="1" w:styleId="194">
    <w:name w:val="无间隔 Char"/>
    <w:link w:val="193"/>
    <w:qFormat/>
    <w:uiPriority w:val="0"/>
    <w:rPr>
      <w:rFonts w:ascii="Calibri" w:hAnsi="Calibri" w:eastAsia="宋体" w:cs="Times New Roman"/>
      <w:kern w:val="0"/>
      <w:sz w:val="22"/>
    </w:rPr>
  </w:style>
  <w:style w:type="paragraph" w:customStyle="1" w:styleId="195">
    <w:name w:val="3"/>
    <w:qFormat/>
    <w:uiPriority w:val="61"/>
    <w:rPr>
      <w:rFonts w:ascii="Calibri" w:hAnsi="Calibri" w:eastAsia="宋体" w:cs="Times New Roman"/>
      <w:sz w:val="22"/>
      <w:szCs w:val="22"/>
      <w:lang w:val="en-US" w:eastAsia="zh-CN" w:bidi="ar-SA"/>
    </w:rPr>
  </w:style>
  <w:style w:type="character" w:customStyle="1" w:styleId="196">
    <w:name w:val="MTDisplayEquation Char Char"/>
    <w:qFormat/>
    <w:uiPriority w:val="0"/>
    <w:rPr>
      <w:sz w:val="24"/>
    </w:rPr>
  </w:style>
  <w:style w:type="paragraph" w:customStyle="1" w:styleId="197">
    <w:name w:val="方框下的123标题"/>
    <w:basedOn w:val="1"/>
    <w:link w:val="216"/>
    <w:qFormat/>
    <w:uiPriority w:val="99"/>
    <w:pPr>
      <w:widowControl w:val="0"/>
      <w:numPr>
        <w:ilvl w:val="0"/>
        <w:numId w:val="9"/>
      </w:numPr>
      <w:spacing w:line="360" w:lineRule="auto"/>
      <w:ind w:firstLine="0" w:firstLineChars="0"/>
      <w:jc w:val="both"/>
    </w:pPr>
    <w:rPr>
      <w:rFonts w:asciiTheme="minorHAnsi" w:hAnsiTheme="minorHAnsi" w:eastAsiaTheme="minorEastAsia" w:cstheme="minorBidi"/>
      <w:sz w:val="21"/>
      <w:szCs w:val="24"/>
    </w:rPr>
  </w:style>
  <w:style w:type="paragraph" w:customStyle="1" w:styleId="198">
    <w:name w:val="标题2"/>
    <w:basedOn w:val="1"/>
    <w:qFormat/>
    <w:uiPriority w:val="99"/>
    <w:pPr>
      <w:widowControl w:val="0"/>
      <w:numPr>
        <w:ilvl w:val="1"/>
        <w:numId w:val="10"/>
      </w:numPr>
      <w:spacing w:line="360" w:lineRule="auto"/>
      <w:ind w:firstLine="200"/>
      <w:jc w:val="both"/>
    </w:pPr>
    <w:rPr>
      <w:rFonts w:eastAsia="宋体"/>
      <w:sz w:val="24"/>
      <w:szCs w:val="24"/>
    </w:rPr>
  </w:style>
  <w:style w:type="character" w:customStyle="1" w:styleId="199">
    <w:name w:val="尾注文本 Char"/>
    <w:basedOn w:val="70"/>
    <w:link w:val="38"/>
    <w:qFormat/>
    <w:uiPriority w:val="99"/>
    <w:rPr>
      <w:rFonts w:ascii="Times New Roman" w:hAnsi="Times New Roman" w:eastAsia="宋体" w:cs="Times New Roman"/>
      <w:sz w:val="24"/>
      <w:szCs w:val="24"/>
    </w:rPr>
  </w:style>
  <w:style w:type="character" w:customStyle="1" w:styleId="200">
    <w:name w:val="脚注文本 Char"/>
    <w:basedOn w:val="70"/>
    <w:link w:val="48"/>
    <w:qFormat/>
    <w:uiPriority w:val="99"/>
    <w:rPr>
      <w:sz w:val="18"/>
      <w:szCs w:val="18"/>
    </w:rPr>
  </w:style>
  <w:style w:type="character" w:customStyle="1" w:styleId="201">
    <w:name w:val="题注 Char"/>
    <w:basedOn w:val="70"/>
    <w:link w:val="18"/>
    <w:qFormat/>
    <w:locked/>
    <w:uiPriority w:val="35"/>
    <w:rPr>
      <w:rFonts w:ascii="宋体" w:hAnsi="宋体" w:eastAsia="宋体" w:cs="Arial"/>
      <w:b/>
      <w:szCs w:val="20"/>
    </w:rPr>
  </w:style>
  <w:style w:type="character" w:customStyle="1" w:styleId="202">
    <w:name w:val="图表目录 Char"/>
    <w:link w:val="54"/>
    <w:qFormat/>
    <w:locked/>
    <w:uiPriority w:val="0"/>
    <w:rPr>
      <w:rFonts w:ascii="Times New Roman" w:hAnsi="Times New Roman" w:eastAsia="宋体" w:cs="Times New Roman"/>
      <w:sz w:val="24"/>
      <w:szCs w:val="20"/>
    </w:rPr>
  </w:style>
  <w:style w:type="character" w:customStyle="1" w:styleId="203">
    <w:name w:val="正文文本缩进 字符1"/>
    <w:basedOn w:val="70"/>
    <w:semiHidden/>
    <w:qFormat/>
    <w:uiPriority w:val="99"/>
    <w:rPr>
      <w:sz w:val="24"/>
    </w:rPr>
  </w:style>
  <w:style w:type="character" w:customStyle="1" w:styleId="204">
    <w:name w:val="正文文本缩进 Char1"/>
    <w:basedOn w:val="70"/>
    <w:qFormat/>
    <w:uiPriority w:val="0"/>
    <w:rPr>
      <w:sz w:val="24"/>
    </w:rPr>
  </w:style>
  <w:style w:type="character" w:customStyle="1" w:styleId="205">
    <w:name w:val="正文首行缩进 Char"/>
    <w:basedOn w:val="85"/>
    <w:link w:val="66"/>
    <w:qFormat/>
    <w:locked/>
    <w:uiPriority w:val="0"/>
    <w:rPr>
      <w:rFonts w:ascii="仿宋" w:hAnsi="仿宋" w:eastAsia="仿宋" w:cs="Times New Roman"/>
      <w:kern w:val="0"/>
      <w:sz w:val="32"/>
      <w:szCs w:val="24"/>
      <w:lang w:eastAsia="en-US"/>
    </w:rPr>
  </w:style>
  <w:style w:type="character" w:customStyle="1" w:styleId="206">
    <w:name w:val="正文文本首行缩进 字符1"/>
    <w:basedOn w:val="85"/>
    <w:semiHidden/>
    <w:qFormat/>
    <w:uiPriority w:val="99"/>
    <w:rPr>
      <w:rFonts w:ascii="Times New Roman" w:hAnsi="Times New Roman" w:eastAsia="仿宋" w:cs="Times New Roman"/>
      <w:kern w:val="0"/>
      <w:sz w:val="28"/>
      <w:szCs w:val="20"/>
      <w:lang w:eastAsia="en-US"/>
    </w:rPr>
  </w:style>
  <w:style w:type="character" w:customStyle="1" w:styleId="207">
    <w:name w:val="正文首行缩进 字符1"/>
    <w:basedOn w:val="85"/>
    <w:qFormat/>
    <w:uiPriority w:val="99"/>
    <w:rPr>
      <w:rFonts w:ascii="仿宋" w:hAnsi="仿宋" w:eastAsia="仿宋" w:cs="Times New Roman"/>
      <w:kern w:val="2"/>
      <w:sz w:val="24"/>
      <w:szCs w:val="24"/>
      <w:lang w:eastAsia="en-US"/>
    </w:rPr>
  </w:style>
  <w:style w:type="character" w:customStyle="1" w:styleId="208">
    <w:name w:val="正文首行缩进 Char1"/>
    <w:basedOn w:val="85"/>
    <w:qFormat/>
    <w:uiPriority w:val="0"/>
    <w:rPr>
      <w:rFonts w:ascii="Times New Roman" w:hAnsi="Times New Roman" w:eastAsia="宋体" w:cs="Times New Roman"/>
      <w:kern w:val="2"/>
      <w:sz w:val="24"/>
      <w:szCs w:val="24"/>
      <w:lang w:eastAsia="en-US"/>
    </w:rPr>
  </w:style>
  <w:style w:type="paragraph" w:customStyle="1" w:styleId="209">
    <w:name w:val="样式 题注 + (西文) Times New Roman (中文) 宋体 小四 居中"/>
    <w:basedOn w:val="18"/>
    <w:qFormat/>
    <w:uiPriority w:val="99"/>
    <w:pPr>
      <w:snapToGrid/>
    </w:pPr>
    <w:rPr>
      <w:rFonts w:cs="宋体"/>
      <w:sz w:val="24"/>
    </w:rPr>
  </w:style>
  <w:style w:type="paragraph" w:customStyle="1" w:styleId="210">
    <w:name w:val="样式 标题 2 + Times New Roman 小三 非加粗 段后: 0.5 行 行距: 1.5 倍行距"/>
    <w:basedOn w:val="3"/>
    <w:qFormat/>
    <w:uiPriority w:val="99"/>
    <w:pPr>
      <w:widowControl w:val="0"/>
      <w:tabs>
        <w:tab w:val="left" w:pos="0"/>
        <w:tab w:val="left" w:pos="360"/>
      </w:tabs>
      <w:adjustRightInd w:val="0"/>
      <w:snapToGrid w:val="0"/>
      <w:spacing w:before="0" w:after="0" w:line="360" w:lineRule="auto"/>
      <w:ind w:right="240" w:rightChars="100"/>
      <w:jc w:val="both"/>
    </w:pPr>
    <w:rPr>
      <w:rFonts w:ascii="黑体" w:hAnsi="黑体" w:cs="宋体"/>
      <w:bCs w:val="0"/>
      <w:sz w:val="30"/>
      <w:szCs w:val="20"/>
    </w:rPr>
  </w:style>
  <w:style w:type="paragraph" w:customStyle="1" w:styleId="211">
    <w:name w:val="样式 标题 3 + (中文) 黑体 四号 非加粗 段后: 0 磅"/>
    <w:basedOn w:val="4"/>
    <w:qFormat/>
    <w:uiPriority w:val="99"/>
    <w:pPr>
      <w:widowControl w:val="0"/>
      <w:spacing w:before="0" w:after="0" w:line="360" w:lineRule="auto"/>
      <w:jc w:val="both"/>
    </w:pPr>
    <w:rPr>
      <w:rFonts w:eastAsia="宋体" w:cs="宋体" w:asciiTheme="minorHAnsi" w:hAnsiTheme="minorHAnsi"/>
      <w:bCs w:val="0"/>
      <w:caps/>
      <w:sz w:val="28"/>
      <w:szCs w:val="24"/>
    </w:rPr>
  </w:style>
  <w:style w:type="paragraph" w:customStyle="1" w:styleId="212">
    <w:name w:val="样式 样式 标题 3 + (中文) 黑体 四号 非加粗 段后: 0 磅 + 左侧:  2.24 厘米 首行缩进:  0 厘米"/>
    <w:basedOn w:val="211"/>
    <w:qFormat/>
    <w:uiPriority w:val="99"/>
  </w:style>
  <w:style w:type="paragraph" w:customStyle="1" w:styleId="213">
    <w:name w:val="样式 样式 样式 标题 3 + (中文) 黑体 四号 非加粗 段后: 0 磅 + 左侧:  2.24 厘米 首行缩进:  0 厘..."/>
    <w:basedOn w:val="212"/>
    <w:qFormat/>
    <w:uiPriority w:val="99"/>
    <w:pPr>
      <w:tabs>
        <w:tab w:val="left" w:pos="0"/>
      </w:tabs>
    </w:pPr>
  </w:style>
  <w:style w:type="character" w:customStyle="1" w:styleId="214">
    <w:name w:val="123标题下的小点 Char"/>
    <w:basedOn w:val="70"/>
    <w:link w:val="215"/>
    <w:qFormat/>
    <w:locked/>
    <w:uiPriority w:val="99"/>
    <w:rPr>
      <w:rFonts w:ascii="宋体" w:hAnsi="宋体"/>
    </w:rPr>
  </w:style>
  <w:style w:type="paragraph" w:customStyle="1" w:styleId="215">
    <w:name w:val="123标题下的小点"/>
    <w:basedOn w:val="1"/>
    <w:link w:val="214"/>
    <w:qFormat/>
    <w:uiPriority w:val="99"/>
    <w:pPr>
      <w:widowControl w:val="0"/>
      <w:numPr>
        <w:ilvl w:val="1"/>
        <w:numId w:val="11"/>
      </w:numPr>
      <w:spacing w:line="360" w:lineRule="auto"/>
      <w:ind w:firstLine="0" w:firstLineChars="0"/>
      <w:jc w:val="both"/>
    </w:pPr>
    <w:rPr>
      <w:rFonts w:ascii="宋体" w:hAnsi="宋体" w:eastAsiaTheme="minorEastAsia" w:cstheme="minorBidi"/>
      <w:sz w:val="21"/>
      <w:szCs w:val="22"/>
    </w:rPr>
  </w:style>
  <w:style w:type="character" w:customStyle="1" w:styleId="216">
    <w:name w:val="方框下的123标题 Char"/>
    <w:basedOn w:val="70"/>
    <w:link w:val="197"/>
    <w:qFormat/>
    <w:locked/>
    <w:uiPriority w:val="99"/>
    <w:rPr>
      <w:szCs w:val="24"/>
    </w:rPr>
  </w:style>
  <w:style w:type="paragraph" w:customStyle="1" w:styleId="217">
    <w:name w:val="样式 标题 2 + 段后: 0.5 行"/>
    <w:basedOn w:val="3"/>
    <w:qFormat/>
    <w:uiPriority w:val="99"/>
    <w:pPr>
      <w:widowControl w:val="0"/>
      <w:tabs>
        <w:tab w:val="left" w:pos="360"/>
      </w:tabs>
      <w:adjustRightInd w:val="0"/>
      <w:snapToGrid w:val="0"/>
      <w:spacing w:before="0" w:after="0" w:line="360" w:lineRule="auto"/>
      <w:ind w:right="240" w:rightChars="100"/>
      <w:jc w:val="both"/>
    </w:pPr>
    <w:rPr>
      <w:rFonts w:cs="宋体"/>
      <w:b w:val="0"/>
      <w:sz w:val="30"/>
      <w:szCs w:val="20"/>
    </w:rPr>
  </w:style>
  <w:style w:type="paragraph" w:customStyle="1" w:styleId="218">
    <w:name w:val="样式 首行缩进:  2 字符"/>
    <w:basedOn w:val="1"/>
    <w:qFormat/>
    <w:uiPriority w:val="99"/>
    <w:pPr>
      <w:widowControl w:val="0"/>
      <w:spacing w:line="240" w:lineRule="auto"/>
      <w:jc w:val="both"/>
    </w:pPr>
    <w:rPr>
      <w:rFonts w:eastAsia="宋体"/>
      <w:sz w:val="21"/>
      <w:szCs w:val="24"/>
    </w:rPr>
  </w:style>
  <w:style w:type="paragraph" w:customStyle="1" w:styleId="219">
    <w:name w:val="样式 标题 3 + 宋体 五号"/>
    <w:basedOn w:val="4"/>
    <w:qFormat/>
    <w:uiPriority w:val="99"/>
    <w:pPr>
      <w:widowControl w:val="0"/>
      <w:numPr>
        <w:ilvl w:val="2"/>
        <w:numId w:val="12"/>
      </w:numPr>
      <w:spacing w:line="410" w:lineRule="auto"/>
      <w:ind w:firstLine="200"/>
      <w:jc w:val="both"/>
    </w:pPr>
    <w:rPr>
      <w:rFonts w:ascii="宋体" w:hAnsi="宋体" w:eastAsiaTheme="majorEastAsia" w:cstheme="minorBidi"/>
      <w:b w:val="0"/>
      <w:caps/>
      <w:sz w:val="21"/>
    </w:rPr>
  </w:style>
  <w:style w:type="paragraph" w:customStyle="1" w:styleId="220">
    <w:name w:val="样式 标题 2 + 宋体 小四"/>
    <w:basedOn w:val="3"/>
    <w:qFormat/>
    <w:uiPriority w:val="99"/>
    <w:pPr>
      <w:widowControl w:val="0"/>
      <w:tabs>
        <w:tab w:val="left" w:pos="360"/>
        <w:tab w:val="left" w:pos="844"/>
      </w:tabs>
      <w:adjustRightInd w:val="0"/>
      <w:snapToGrid w:val="0"/>
      <w:spacing w:line="412" w:lineRule="auto"/>
      <w:ind w:left="844" w:right="240" w:rightChars="100" w:hanging="425"/>
      <w:jc w:val="both"/>
    </w:pPr>
    <w:rPr>
      <w:rFonts w:ascii="黑体" w:hAnsi="黑体" w:eastAsiaTheme="majorEastAsia"/>
      <w:b w:val="0"/>
      <w:sz w:val="24"/>
    </w:rPr>
  </w:style>
  <w:style w:type="paragraph" w:customStyle="1" w:styleId="221">
    <w:name w:val="表内文字(同正文大小)"/>
    <w:basedOn w:val="1"/>
    <w:qFormat/>
    <w:uiPriority w:val="99"/>
    <w:pPr>
      <w:widowControl w:val="0"/>
      <w:spacing w:line="264" w:lineRule="auto"/>
      <w:ind w:firstLine="0" w:firstLineChars="0"/>
      <w:jc w:val="both"/>
    </w:pPr>
    <w:rPr>
      <w:rFonts w:eastAsia="宋体"/>
      <w:kern w:val="0"/>
      <w:sz w:val="21"/>
      <w:lang w:eastAsia="en-US"/>
    </w:rPr>
  </w:style>
  <w:style w:type="paragraph" w:customStyle="1" w:styleId="222">
    <w:name w:val="正文2"/>
    <w:basedOn w:val="1"/>
    <w:next w:val="1"/>
    <w:link w:val="345"/>
    <w:qFormat/>
    <w:uiPriority w:val="0"/>
    <w:pPr>
      <w:spacing w:line="400" w:lineRule="exact"/>
      <w:ind w:firstLine="0" w:firstLineChars="0"/>
      <w:jc w:val="center"/>
    </w:pPr>
    <w:rPr>
      <w:rFonts w:ascii="Verdana" w:hAnsi="Verdana" w:eastAsia="宋体"/>
      <w:kern w:val="0"/>
      <w:sz w:val="21"/>
      <w:lang w:eastAsia="en-US"/>
    </w:rPr>
  </w:style>
  <w:style w:type="character" w:customStyle="1" w:styleId="223">
    <w:name w:val="公式 Char Char"/>
    <w:basedOn w:val="70"/>
    <w:link w:val="224"/>
    <w:semiHidden/>
    <w:qFormat/>
    <w:locked/>
    <w:uiPriority w:val="0"/>
    <w:rPr>
      <w:szCs w:val="24"/>
    </w:rPr>
  </w:style>
  <w:style w:type="paragraph" w:customStyle="1" w:styleId="224">
    <w:name w:val="公式 Char"/>
    <w:basedOn w:val="1"/>
    <w:next w:val="1"/>
    <w:link w:val="223"/>
    <w:semiHidden/>
    <w:qFormat/>
    <w:uiPriority w:val="0"/>
    <w:pPr>
      <w:widowControl w:val="0"/>
      <w:tabs>
        <w:tab w:val="left" w:pos="3420"/>
      </w:tabs>
      <w:wordWrap w:val="0"/>
      <w:spacing w:line="240" w:lineRule="auto"/>
      <w:ind w:right="26" w:firstLine="240" w:firstLineChars="100"/>
      <w:jc w:val="right"/>
    </w:pPr>
    <w:rPr>
      <w:rFonts w:asciiTheme="minorHAnsi" w:hAnsiTheme="minorHAnsi" w:eastAsiaTheme="minorEastAsia" w:cstheme="minorBidi"/>
      <w:sz w:val="21"/>
      <w:szCs w:val="24"/>
    </w:rPr>
  </w:style>
  <w:style w:type="paragraph" w:customStyle="1" w:styleId="225">
    <w:name w:val="正文居中 单倍行距"/>
    <w:basedOn w:val="1"/>
    <w:next w:val="66"/>
    <w:qFormat/>
    <w:uiPriority w:val="99"/>
    <w:pPr>
      <w:widowControl w:val="0"/>
      <w:spacing w:line="240" w:lineRule="auto"/>
      <w:ind w:firstLine="0" w:firstLineChars="0"/>
      <w:jc w:val="center"/>
    </w:pPr>
    <w:rPr>
      <w:rFonts w:eastAsia="宋体"/>
      <w:sz w:val="18"/>
      <w:szCs w:val="18"/>
    </w:rPr>
  </w:style>
  <w:style w:type="paragraph" w:customStyle="1" w:styleId="226">
    <w:name w:val="图的标题"/>
    <w:basedOn w:val="1"/>
    <w:qFormat/>
    <w:uiPriority w:val="99"/>
    <w:pPr>
      <w:widowControl w:val="0"/>
      <w:spacing w:line="288" w:lineRule="auto"/>
      <w:ind w:firstLine="0" w:firstLineChars="0"/>
      <w:jc w:val="center"/>
    </w:pPr>
    <w:rPr>
      <w:rFonts w:ascii="宋体" w:hAnsi="宋体" w:eastAsia="宋体"/>
      <w:b/>
      <w:sz w:val="18"/>
      <w:szCs w:val="18"/>
    </w:rPr>
  </w:style>
  <w:style w:type="paragraph" w:customStyle="1" w:styleId="227">
    <w:name w:val="表中文字"/>
    <w:basedOn w:val="1"/>
    <w:next w:val="66"/>
    <w:qFormat/>
    <w:uiPriority w:val="99"/>
    <w:pPr>
      <w:widowControl w:val="0"/>
      <w:spacing w:line="288" w:lineRule="auto"/>
      <w:ind w:firstLine="0" w:firstLineChars="0"/>
      <w:jc w:val="center"/>
    </w:pPr>
    <w:rPr>
      <w:rFonts w:eastAsia="宋体"/>
      <w:sz w:val="24"/>
      <w:szCs w:val="24"/>
    </w:rPr>
  </w:style>
  <w:style w:type="paragraph" w:customStyle="1" w:styleId="228">
    <w:name w:val="表格题目"/>
    <w:basedOn w:val="1"/>
    <w:next w:val="1"/>
    <w:qFormat/>
    <w:uiPriority w:val="99"/>
    <w:pPr>
      <w:widowControl w:val="0"/>
      <w:spacing w:line="240" w:lineRule="auto"/>
      <w:ind w:firstLine="0" w:firstLineChars="0"/>
      <w:jc w:val="center"/>
    </w:pPr>
    <w:rPr>
      <w:rFonts w:ascii="黑体" w:hAnsi="宋体" w:eastAsia="黑体"/>
      <w:sz w:val="21"/>
      <w:szCs w:val="21"/>
    </w:rPr>
  </w:style>
  <w:style w:type="character" w:customStyle="1" w:styleId="229">
    <w:name w:val="正文居中 Char Char"/>
    <w:basedOn w:val="70"/>
    <w:link w:val="230"/>
    <w:qFormat/>
    <w:locked/>
    <w:uiPriority w:val="0"/>
    <w:rPr>
      <w:szCs w:val="24"/>
    </w:rPr>
  </w:style>
  <w:style w:type="paragraph" w:customStyle="1" w:styleId="230">
    <w:name w:val="正文居中 Char"/>
    <w:basedOn w:val="1"/>
    <w:link w:val="229"/>
    <w:qFormat/>
    <w:uiPriority w:val="0"/>
    <w:pPr>
      <w:widowControl w:val="0"/>
      <w:spacing w:line="264" w:lineRule="auto"/>
      <w:ind w:firstLine="0" w:firstLineChars="0"/>
      <w:jc w:val="center"/>
    </w:pPr>
    <w:rPr>
      <w:rFonts w:asciiTheme="minorHAnsi" w:hAnsiTheme="minorHAnsi" w:eastAsiaTheme="minorEastAsia" w:cstheme="minorBidi"/>
      <w:sz w:val="21"/>
      <w:szCs w:val="24"/>
    </w:rPr>
  </w:style>
  <w:style w:type="paragraph" w:customStyle="1" w:styleId="231">
    <w:name w:val="正文居中 四号"/>
    <w:basedOn w:val="230"/>
    <w:qFormat/>
    <w:uiPriority w:val="99"/>
    <w:rPr>
      <w:sz w:val="28"/>
    </w:rPr>
  </w:style>
  <w:style w:type="paragraph" w:customStyle="1" w:styleId="232">
    <w:name w:val="正文右对齐"/>
    <w:basedOn w:val="1"/>
    <w:next w:val="66"/>
    <w:qFormat/>
    <w:uiPriority w:val="99"/>
    <w:pPr>
      <w:widowControl w:val="0"/>
      <w:spacing w:line="288" w:lineRule="auto"/>
      <w:ind w:firstLine="0" w:firstLineChars="0"/>
      <w:jc w:val="right"/>
    </w:pPr>
    <w:rPr>
      <w:rFonts w:eastAsia="宋体"/>
      <w:sz w:val="24"/>
      <w:szCs w:val="24"/>
    </w:rPr>
  </w:style>
  <w:style w:type="paragraph" w:customStyle="1" w:styleId="233">
    <w:name w:val="论文页眉"/>
    <w:basedOn w:val="1"/>
    <w:qFormat/>
    <w:uiPriority w:val="99"/>
    <w:pPr>
      <w:widowControl w:val="0"/>
      <w:pBdr>
        <w:bottom w:val="thickThinSmallGap" w:color="auto" w:sz="24" w:space="1"/>
      </w:pBdr>
      <w:snapToGrid w:val="0"/>
      <w:spacing w:line="288" w:lineRule="auto"/>
      <w:ind w:firstLine="0" w:firstLineChars="0"/>
      <w:jc w:val="center"/>
    </w:pPr>
    <w:rPr>
      <w:rFonts w:eastAsia="宋体"/>
      <w:sz w:val="21"/>
      <w:szCs w:val="21"/>
    </w:rPr>
  </w:style>
  <w:style w:type="paragraph" w:customStyle="1" w:styleId="234">
    <w:name w:val="版权申明"/>
    <w:basedOn w:val="66"/>
    <w:next w:val="66"/>
    <w:qFormat/>
    <w:uiPriority w:val="99"/>
    <w:pPr>
      <w:widowControl w:val="0"/>
      <w:adjustRightInd w:val="0"/>
      <w:snapToGrid w:val="0"/>
      <w:spacing w:before="32" w:after="32" w:line="300" w:lineRule="auto"/>
      <w:ind w:firstLine="640" w:firstLineChars="200"/>
    </w:pPr>
    <w:rPr>
      <w:rFonts w:ascii="宋体" w:hAnsi="宋体" w:eastAsia="黑体"/>
      <w:color w:val="FF0000"/>
      <w:sz w:val="32"/>
    </w:rPr>
  </w:style>
  <w:style w:type="paragraph" w:customStyle="1" w:styleId="235">
    <w:name w:val="原创性申明标题"/>
    <w:basedOn w:val="2"/>
    <w:qFormat/>
    <w:uiPriority w:val="99"/>
    <w:pPr>
      <w:adjustRightInd/>
      <w:snapToGrid/>
      <w:spacing w:line="288" w:lineRule="auto"/>
      <w:textAlignment w:val="auto"/>
      <w:outlineLvl w:val="2"/>
    </w:pPr>
    <w:rPr>
      <w:rFonts w:ascii="Arial" w:hAnsi="Arial" w:cs="Arial" w:eastAsiaTheme="majorEastAsia"/>
      <w:sz w:val="32"/>
      <w:szCs w:val="36"/>
    </w:rPr>
  </w:style>
  <w:style w:type="paragraph" w:customStyle="1" w:styleId="236">
    <w:name w:val="原创性申明内容"/>
    <w:basedOn w:val="235"/>
    <w:next w:val="232"/>
    <w:qFormat/>
    <w:uiPriority w:val="99"/>
    <w:pPr>
      <w:ind w:firstLine="200" w:firstLineChars="200"/>
      <w:jc w:val="left"/>
    </w:pPr>
    <w:rPr>
      <w:b w:val="0"/>
      <w:sz w:val="28"/>
    </w:rPr>
  </w:style>
  <w:style w:type="paragraph" w:customStyle="1" w:styleId="237">
    <w:name w:val="英文格式"/>
    <w:basedOn w:val="66"/>
    <w:qFormat/>
    <w:uiPriority w:val="99"/>
    <w:pPr>
      <w:widowControl w:val="0"/>
      <w:adjustRightInd w:val="0"/>
      <w:snapToGrid w:val="0"/>
      <w:spacing w:before="32" w:after="32" w:line="300" w:lineRule="auto"/>
      <w:ind w:firstLine="432" w:firstLineChars="180"/>
    </w:pPr>
    <w:rPr>
      <w:rFonts w:ascii="宋体" w:hAnsi="宋体"/>
      <w:color w:val="FF0000"/>
    </w:rPr>
  </w:style>
  <w:style w:type="paragraph" w:customStyle="1" w:styleId="238">
    <w:name w:val="提要"/>
    <w:basedOn w:val="2"/>
    <w:next w:val="66"/>
    <w:qFormat/>
    <w:uiPriority w:val="99"/>
    <w:pPr>
      <w:adjustRightInd/>
      <w:snapToGrid/>
      <w:spacing w:line="300" w:lineRule="auto"/>
      <w:textAlignment w:val="auto"/>
      <w:outlineLvl w:val="2"/>
    </w:pPr>
    <w:rPr>
      <w:rFonts w:ascii="Arial" w:hAnsi="Arial" w:cs="Arial"/>
      <w:szCs w:val="36"/>
    </w:rPr>
  </w:style>
  <w:style w:type="paragraph" w:customStyle="1" w:styleId="239">
    <w:name w:val="目录"/>
    <w:basedOn w:val="2"/>
    <w:next w:val="66"/>
    <w:qFormat/>
    <w:uiPriority w:val="99"/>
    <w:pPr>
      <w:adjustRightInd/>
      <w:snapToGrid/>
      <w:spacing w:line="288" w:lineRule="auto"/>
      <w:textAlignment w:val="auto"/>
      <w:outlineLvl w:val="2"/>
    </w:pPr>
    <w:rPr>
      <w:rFonts w:ascii="Arial" w:hAnsi="Arial" w:cs="Arial"/>
      <w:szCs w:val="36"/>
    </w:rPr>
  </w:style>
  <w:style w:type="paragraph" w:customStyle="1" w:styleId="240">
    <w:name w:val="悬挂缩进"/>
    <w:basedOn w:val="1"/>
    <w:qFormat/>
    <w:uiPriority w:val="99"/>
    <w:pPr>
      <w:widowControl w:val="0"/>
      <w:spacing w:line="288" w:lineRule="auto"/>
      <w:ind w:left="367" w:hanging="367" w:hangingChars="153"/>
      <w:jc w:val="both"/>
    </w:pPr>
    <w:rPr>
      <w:rFonts w:eastAsia="宋体"/>
      <w:sz w:val="24"/>
      <w:szCs w:val="24"/>
    </w:rPr>
  </w:style>
  <w:style w:type="paragraph" w:customStyle="1" w:styleId="241">
    <w:name w:val="正文多倍行距"/>
    <w:basedOn w:val="1"/>
    <w:qFormat/>
    <w:uiPriority w:val="99"/>
    <w:pPr>
      <w:widowControl w:val="0"/>
      <w:spacing w:line="288" w:lineRule="auto"/>
      <w:ind w:firstLine="0" w:firstLineChars="0"/>
    </w:pPr>
    <w:rPr>
      <w:rFonts w:eastAsia="宋体"/>
      <w:sz w:val="24"/>
      <w:szCs w:val="24"/>
    </w:rPr>
  </w:style>
  <w:style w:type="character" w:customStyle="1" w:styleId="242">
    <w:name w:val="5号字 Char Char"/>
    <w:basedOn w:val="70"/>
    <w:link w:val="243"/>
    <w:qFormat/>
    <w:locked/>
    <w:uiPriority w:val="0"/>
    <w:rPr>
      <w:szCs w:val="24"/>
    </w:rPr>
  </w:style>
  <w:style w:type="paragraph" w:customStyle="1" w:styleId="243">
    <w:name w:val="5号字 Char"/>
    <w:basedOn w:val="1"/>
    <w:next w:val="66"/>
    <w:link w:val="242"/>
    <w:qFormat/>
    <w:uiPriority w:val="0"/>
    <w:pPr>
      <w:widowControl w:val="0"/>
      <w:spacing w:line="288" w:lineRule="auto"/>
      <w:ind w:firstLine="0" w:firstLineChars="0"/>
    </w:pPr>
    <w:rPr>
      <w:rFonts w:asciiTheme="minorHAnsi" w:hAnsiTheme="minorHAnsi" w:eastAsiaTheme="minorEastAsia" w:cstheme="minorBidi"/>
      <w:sz w:val="21"/>
      <w:szCs w:val="24"/>
    </w:rPr>
  </w:style>
  <w:style w:type="paragraph" w:customStyle="1" w:styleId="244">
    <w:name w:val="正文首行缩进 两端对齐"/>
    <w:basedOn w:val="66"/>
    <w:qFormat/>
    <w:uiPriority w:val="99"/>
    <w:pPr>
      <w:widowControl w:val="0"/>
      <w:adjustRightInd w:val="0"/>
      <w:snapToGrid w:val="0"/>
      <w:spacing w:before="0" w:after="0" w:line="300" w:lineRule="auto"/>
      <w:ind w:firstLine="495" w:firstLineChars="200"/>
    </w:pPr>
    <w:rPr>
      <w:rFonts w:ascii="宋体" w:hAnsi="宋体"/>
      <w:color w:val="FF0000"/>
    </w:rPr>
  </w:style>
  <w:style w:type="paragraph" w:customStyle="1" w:styleId="245">
    <w:name w:val="正文 四号"/>
    <w:basedOn w:val="1"/>
    <w:qFormat/>
    <w:uiPriority w:val="99"/>
    <w:pPr>
      <w:widowControl w:val="0"/>
      <w:spacing w:line="288" w:lineRule="auto"/>
      <w:ind w:firstLine="0" w:firstLineChars="0"/>
    </w:pPr>
    <w:rPr>
      <w:rFonts w:eastAsia="宋体"/>
      <w:szCs w:val="24"/>
    </w:rPr>
  </w:style>
  <w:style w:type="paragraph" w:customStyle="1" w:styleId="246">
    <w:name w:val="正文居中 1.2行距"/>
    <w:basedOn w:val="1"/>
    <w:qFormat/>
    <w:uiPriority w:val="99"/>
    <w:pPr>
      <w:widowControl w:val="0"/>
      <w:spacing w:line="288" w:lineRule="auto"/>
      <w:ind w:firstLine="0" w:firstLineChars="0"/>
      <w:jc w:val="center"/>
    </w:pPr>
    <w:rPr>
      <w:rFonts w:eastAsia="宋体"/>
      <w:sz w:val="24"/>
      <w:szCs w:val="24"/>
    </w:rPr>
  </w:style>
  <w:style w:type="paragraph" w:customStyle="1" w:styleId="247">
    <w:name w:val="[100]列表编号"/>
    <w:basedOn w:val="16"/>
    <w:qFormat/>
    <w:uiPriority w:val="99"/>
    <w:pPr>
      <w:jc w:val="center"/>
    </w:pPr>
  </w:style>
  <w:style w:type="paragraph" w:customStyle="1" w:styleId="248">
    <w:name w:val="[10]列表编号"/>
    <w:basedOn w:val="247"/>
    <w:qFormat/>
    <w:uiPriority w:val="99"/>
    <w:rPr>
      <w:kern w:val="0"/>
    </w:rPr>
  </w:style>
  <w:style w:type="paragraph" w:customStyle="1" w:styleId="249">
    <w:name w:val="公式"/>
    <w:basedOn w:val="1"/>
    <w:next w:val="1"/>
    <w:qFormat/>
    <w:uiPriority w:val="99"/>
    <w:pPr>
      <w:widowControl w:val="0"/>
      <w:wordWrap w:val="0"/>
      <w:spacing w:line="360" w:lineRule="auto"/>
      <w:ind w:firstLine="480" w:firstLineChars="0"/>
    </w:pPr>
    <w:rPr>
      <w:rFonts w:eastAsia="宋体"/>
      <w:sz w:val="24"/>
      <w:szCs w:val="24"/>
    </w:rPr>
  </w:style>
  <w:style w:type="paragraph" w:customStyle="1" w:styleId="250">
    <w:name w:val="1"/>
    <w:basedOn w:val="1"/>
    <w:next w:val="25"/>
    <w:qFormat/>
    <w:uiPriority w:val="99"/>
    <w:pPr>
      <w:widowControl w:val="0"/>
      <w:spacing w:after="120" w:line="240" w:lineRule="auto"/>
      <w:ind w:firstLine="0" w:firstLineChars="0"/>
      <w:jc w:val="both"/>
    </w:pPr>
    <w:rPr>
      <w:rFonts w:eastAsia="宋体"/>
      <w:sz w:val="21"/>
      <w:szCs w:val="24"/>
    </w:rPr>
  </w:style>
  <w:style w:type="paragraph" w:customStyle="1" w:styleId="251">
    <w:name w:val="2"/>
    <w:basedOn w:val="1"/>
    <w:next w:val="25"/>
    <w:qFormat/>
    <w:uiPriority w:val="99"/>
    <w:pPr>
      <w:widowControl w:val="0"/>
      <w:spacing w:after="120" w:line="240" w:lineRule="auto"/>
      <w:ind w:firstLine="0" w:firstLineChars="0"/>
      <w:jc w:val="both"/>
    </w:pPr>
    <w:rPr>
      <w:rFonts w:eastAsia="宋体"/>
      <w:sz w:val="21"/>
      <w:szCs w:val="24"/>
    </w:rPr>
  </w:style>
  <w:style w:type="paragraph" w:customStyle="1" w:styleId="252">
    <w:name w:val="表格 - 列头"/>
    <w:basedOn w:val="1"/>
    <w:qFormat/>
    <w:uiPriority w:val="99"/>
    <w:pPr>
      <w:keepNext/>
      <w:tabs>
        <w:tab w:val="left" w:pos="420"/>
      </w:tabs>
      <w:spacing w:before="60" w:after="60" w:line="240" w:lineRule="auto"/>
      <w:ind w:firstLine="0" w:firstLineChars="0"/>
      <w:jc w:val="both"/>
    </w:pPr>
    <w:rPr>
      <w:rFonts w:ascii="Arial" w:hAnsi="Arial" w:eastAsia="新宋体"/>
      <w:b/>
      <w:kern w:val="0"/>
      <w:sz w:val="21"/>
      <w:lang w:eastAsia="en-US"/>
    </w:rPr>
  </w:style>
  <w:style w:type="paragraph" w:customStyle="1" w:styleId="253">
    <w:name w:val="表格 - 正文"/>
    <w:basedOn w:val="1"/>
    <w:qFormat/>
    <w:uiPriority w:val="99"/>
    <w:pPr>
      <w:tabs>
        <w:tab w:val="left" w:pos="420"/>
      </w:tabs>
      <w:spacing w:line="240" w:lineRule="auto"/>
      <w:ind w:firstLine="0" w:firstLineChars="0"/>
      <w:jc w:val="both"/>
    </w:pPr>
    <w:rPr>
      <w:rFonts w:eastAsia="新宋体"/>
      <w:kern w:val="0"/>
      <w:sz w:val="21"/>
    </w:rPr>
  </w:style>
  <w:style w:type="paragraph" w:customStyle="1" w:styleId="254">
    <w:name w:val="xl24"/>
    <w:basedOn w:val="1"/>
    <w:qFormat/>
    <w:uiPriority w:val="99"/>
    <w:pPr>
      <w:spacing w:before="100" w:beforeAutospacing="1" w:after="100" w:afterAutospacing="1" w:line="240" w:lineRule="auto"/>
      <w:ind w:firstLine="0" w:firstLineChars="0"/>
      <w:jc w:val="center"/>
    </w:pPr>
    <w:rPr>
      <w:rFonts w:eastAsia="宋体"/>
      <w:kern w:val="0"/>
      <w:sz w:val="24"/>
      <w:szCs w:val="24"/>
    </w:rPr>
  </w:style>
  <w:style w:type="paragraph" w:customStyle="1" w:styleId="255">
    <w:name w:val="xl25"/>
    <w:basedOn w:val="1"/>
    <w:qFormat/>
    <w:uiPriority w:val="99"/>
    <w:pPr>
      <w:spacing w:before="100" w:beforeAutospacing="1" w:after="100" w:afterAutospacing="1" w:line="240" w:lineRule="auto"/>
      <w:ind w:firstLine="0" w:firstLineChars="0"/>
      <w:jc w:val="center"/>
    </w:pPr>
    <w:rPr>
      <w:rFonts w:ascii="宋体" w:hAnsi="宋体" w:eastAsia="宋体"/>
      <w:kern w:val="0"/>
      <w:sz w:val="20"/>
    </w:rPr>
  </w:style>
  <w:style w:type="paragraph" w:customStyle="1" w:styleId="256">
    <w:name w:val="样式 标题 2 Char标题 2 Char + 居中 左侧:  0 厘米 首行缩进:  0 厘米"/>
    <w:basedOn w:val="3"/>
    <w:qFormat/>
    <w:uiPriority w:val="99"/>
    <w:pPr>
      <w:widowControl w:val="0"/>
      <w:tabs>
        <w:tab w:val="left" w:pos="360"/>
        <w:tab w:val="left" w:pos="432"/>
      </w:tabs>
      <w:adjustRightInd w:val="0"/>
      <w:snapToGrid w:val="0"/>
      <w:spacing w:line="412" w:lineRule="auto"/>
      <w:ind w:left="432" w:right="240" w:rightChars="100" w:hanging="432"/>
    </w:pPr>
    <w:rPr>
      <w:rFonts w:cs="宋体"/>
      <w:b w:val="0"/>
      <w:szCs w:val="20"/>
    </w:rPr>
  </w:style>
  <w:style w:type="paragraph" w:customStyle="1" w:styleId="257">
    <w:name w:val="图表标题"/>
    <w:basedOn w:val="1"/>
    <w:qFormat/>
    <w:uiPriority w:val="99"/>
    <w:pPr>
      <w:widowControl w:val="0"/>
      <w:spacing w:line="360" w:lineRule="auto"/>
      <w:ind w:firstLine="0" w:firstLineChars="0"/>
      <w:jc w:val="center"/>
    </w:pPr>
    <w:rPr>
      <w:rFonts w:eastAsia="宋体"/>
      <w:sz w:val="24"/>
      <w:szCs w:val="24"/>
    </w:rPr>
  </w:style>
  <w:style w:type="paragraph" w:customStyle="1" w:styleId="258">
    <w:name w:val="参考文献"/>
    <w:basedOn w:val="38"/>
    <w:qFormat/>
    <w:uiPriority w:val="99"/>
  </w:style>
  <w:style w:type="paragraph" w:customStyle="1" w:styleId="259">
    <w:name w:val="样式 行距: 固定值 20 磅 Char Char"/>
    <w:basedOn w:val="1"/>
    <w:qFormat/>
    <w:uiPriority w:val="99"/>
    <w:pPr>
      <w:widowControl w:val="0"/>
      <w:numPr>
        <w:ilvl w:val="1"/>
        <w:numId w:val="13"/>
      </w:numPr>
      <w:spacing w:line="360" w:lineRule="auto"/>
      <w:ind w:firstLine="0" w:firstLineChars="0"/>
      <w:jc w:val="both"/>
    </w:pPr>
    <w:rPr>
      <w:rFonts w:eastAsia="宋体"/>
      <w:sz w:val="24"/>
      <w:szCs w:val="24"/>
    </w:rPr>
  </w:style>
  <w:style w:type="paragraph" w:customStyle="1" w:styleId="260">
    <w:name w:val="默认段落字体 Para Char"/>
    <w:basedOn w:val="1"/>
    <w:qFormat/>
    <w:uiPriority w:val="99"/>
    <w:pPr>
      <w:widowControl w:val="0"/>
      <w:spacing w:line="240" w:lineRule="auto"/>
      <w:ind w:firstLine="0" w:firstLineChars="0"/>
      <w:jc w:val="both"/>
    </w:pPr>
    <w:rPr>
      <w:rFonts w:ascii="Arial" w:hAnsi="Arial" w:eastAsia="宋体" w:cs="Arial"/>
      <w:sz w:val="21"/>
      <w:szCs w:val="24"/>
    </w:rPr>
  </w:style>
  <w:style w:type="paragraph" w:customStyle="1" w:styleId="261">
    <w:name w:val="样式 标题 3标题 3 Char1标题 3 Char Char Char标题 3 Char1 Char Char Char..."/>
    <w:basedOn w:val="4"/>
    <w:qFormat/>
    <w:uiPriority w:val="99"/>
    <w:pPr>
      <w:widowControl w:val="0"/>
      <w:spacing w:before="0" w:beforeLines="50" w:after="0" w:line="360" w:lineRule="auto"/>
      <w:jc w:val="both"/>
    </w:pPr>
    <w:rPr>
      <w:rFonts w:ascii="Arial" w:hAnsi="Arial" w:eastAsia="宋体" w:cs="宋体"/>
      <w:bCs w:val="0"/>
      <w:caps/>
      <w:sz w:val="28"/>
      <w:szCs w:val="24"/>
    </w:rPr>
  </w:style>
  <w:style w:type="paragraph" w:customStyle="1" w:styleId="262">
    <w:name w:val="样式 (西文) Arial (中文) 黑体 行距: 2 倍行距"/>
    <w:basedOn w:val="1"/>
    <w:qFormat/>
    <w:uiPriority w:val="99"/>
    <w:pPr>
      <w:widowControl w:val="0"/>
      <w:spacing w:beforeLines="50" w:line="360" w:lineRule="auto"/>
      <w:ind w:firstLine="0" w:firstLineChars="0"/>
      <w:jc w:val="both"/>
    </w:pPr>
    <w:rPr>
      <w:rFonts w:ascii="Arial" w:hAnsi="Arial" w:eastAsia="黑体" w:cs="宋体"/>
      <w:sz w:val="24"/>
    </w:rPr>
  </w:style>
  <w:style w:type="paragraph" w:customStyle="1" w:styleId="263">
    <w:name w:val="样式 样式 (西文) Arial (中文) 黑体 行距: 2 倍行距 + 段前: 0.5 行 段后: 0.5 行"/>
    <w:basedOn w:val="262"/>
    <w:qFormat/>
    <w:uiPriority w:val="99"/>
    <w:pPr>
      <w:spacing w:beforeLines="0"/>
    </w:pPr>
    <w:rPr>
      <w:rFonts w:ascii="Times New Roman" w:hAnsi="Times New Roman" w:cs="Times New Roman"/>
    </w:rPr>
  </w:style>
  <w:style w:type="paragraph" w:customStyle="1" w:styleId="264">
    <w:name w:val="Style1"/>
    <w:basedOn w:val="1"/>
    <w:qFormat/>
    <w:uiPriority w:val="99"/>
    <w:pPr>
      <w:widowControl w:val="0"/>
      <w:adjustRightInd w:val="0"/>
      <w:spacing w:line="240" w:lineRule="auto"/>
      <w:ind w:firstLine="0" w:firstLineChars="0"/>
      <w:jc w:val="both"/>
    </w:pPr>
    <w:rPr>
      <w:rFonts w:ascii="宋体" w:eastAsia="宋体" w:hAnsiTheme="minorHAnsi" w:cstheme="minorBidi"/>
      <w:kern w:val="0"/>
      <w:sz w:val="24"/>
      <w:szCs w:val="24"/>
    </w:rPr>
  </w:style>
  <w:style w:type="paragraph" w:customStyle="1" w:styleId="265">
    <w:name w:val="Style3"/>
    <w:basedOn w:val="1"/>
    <w:qFormat/>
    <w:uiPriority w:val="99"/>
    <w:pPr>
      <w:widowControl w:val="0"/>
      <w:adjustRightInd w:val="0"/>
      <w:spacing w:line="317" w:lineRule="exact"/>
      <w:ind w:firstLine="418" w:firstLineChars="0"/>
      <w:jc w:val="both"/>
    </w:pPr>
    <w:rPr>
      <w:rFonts w:ascii="宋体" w:eastAsia="宋体" w:hAnsiTheme="minorHAnsi" w:cstheme="minorBidi"/>
      <w:kern w:val="0"/>
      <w:sz w:val="24"/>
      <w:szCs w:val="24"/>
    </w:rPr>
  </w:style>
  <w:style w:type="paragraph" w:customStyle="1" w:styleId="266">
    <w:name w:val="Style5"/>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67">
    <w:name w:val="Style7"/>
    <w:basedOn w:val="1"/>
    <w:qFormat/>
    <w:uiPriority w:val="99"/>
    <w:pPr>
      <w:widowControl w:val="0"/>
      <w:adjustRightInd w:val="0"/>
      <w:spacing w:line="322" w:lineRule="exact"/>
      <w:ind w:hanging="245" w:firstLineChars="0"/>
    </w:pPr>
    <w:rPr>
      <w:rFonts w:ascii="宋体" w:eastAsia="宋体" w:hAnsiTheme="minorHAnsi" w:cstheme="minorBidi"/>
      <w:kern w:val="0"/>
      <w:sz w:val="24"/>
      <w:szCs w:val="24"/>
    </w:rPr>
  </w:style>
  <w:style w:type="paragraph" w:customStyle="1" w:styleId="268">
    <w:name w:val="Style4"/>
    <w:basedOn w:val="1"/>
    <w:qFormat/>
    <w:uiPriority w:val="99"/>
    <w:pPr>
      <w:widowControl w:val="0"/>
      <w:adjustRightInd w:val="0"/>
      <w:spacing w:line="420" w:lineRule="exact"/>
      <w:ind w:firstLine="0" w:firstLineChars="0"/>
      <w:jc w:val="both"/>
    </w:pPr>
    <w:rPr>
      <w:rFonts w:ascii="宋体" w:eastAsia="宋体" w:hAnsiTheme="minorHAnsi" w:cstheme="minorBidi"/>
      <w:kern w:val="0"/>
      <w:sz w:val="24"/>
      <w:szCs w:val="24"/>
    </w:rPr>
  </w:style>
  <w:style w:type="paragraph" w:customStyle="1" w:styleId="269">
    <w:name w:val="Style6"/>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70">
    <w:name w:val="Style8"/>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71">
    <w:name w:val="Style9"/>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72">
    <w:name w:val="Style12"/>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73">
    <w:name w:val="Style11"/>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74">
    <w:name w:val="Style10"/>
    <w:basedOn w:val="1"/>
    <w:qFormat/>
    <w:uiPriority w:val="99"/>
    <w:pPr>
      <w:widowControl w:val="0"/>
      <w:adjustRightInd w:val="0"/>
      <w:spacing w:line="240" w:lineRule="auto"/>
      <w:ind w:firstLine="0" w:firstLineChars="0"/>
    </w:pPr>
    <w:rPr>
      <w:rFonts w:ascii="宋体" w:eastAsia="宋体" w:hAnsiTheme="minorHAnsi" w:cstheme="minorBidi"/>
      <w:kern w:val="0"/>
      <w:sz w:val="24"/>
      <w:szCs w:val="24"/>
    </w:rPr>
  </w:style>
  <w:style w:type="paragraph" w:customStyle="1" w:styleId="275">
    <w:name w:val="Style2"/>
    <w:basedOn w:val="1"/>
    <w:qFormat/>
    <w:uiPriority w:val="99"/>
    <w:pPr>
      <w:widowControl w:val="0"/>
      <w:adjustRightInd w:val="0"/>
      <w:spacing w:line="420" w:lineRule="exact"/>
      <w:ind w:firstLine="0" w:firstLineChars="0"/>
      <w:jc w:val="both"/>
    </w:pPr>
    <w:rPr>
      <w:rFonts w:ascii="宋体" w:eastAsia="宋体" w:hAnsiTheme="minorHAnsi" w:cstheme="minorBidi"/>
      <w:kern w:val="0"/>
      <w:sz w:val="24"/>
      <w:szCs w:val="24"/>
    </w:rPr>
  </w:style>
  <w:style w:type="character" w:styleId="276">
    <w:name w:val="Placeholder Text"/>
    <w:basedOn w:val="70"/>
    <w:qFormat/>
    <w:uiPriority w:val="0"/>
    <w:rPr>
      <w:color w:val="808080"/>
    </w:rPr>
  </w:style>
  <w:style w:type="character" w:customStyle="1" w:styleId="277">
    <w:name w:val="content1"/>
    <w:basedOn w:val="70"/>
    <w:qFormat/>
    <w:uiPriority w:val="0"/>
    <w:rPr>
      <w:sz w:val="18"/>
      <w:szCs w:val="18"/>
    </w:rPr>
  </w:style>
  <w:style w:type="character" w:customStyle="1" w:styleId="278">
    <w:name w:val="方框下的123标题 Char Char"/>
    <w:basedOn w:val="70"/>
    <w:qFormat/>
    <w:uiPriority w:val="0"/>
    <w:rPr>
      <w:rFonts w:hint="eastAsia" w:ascii="宋体" w:hAnsi="宋体" w:eastAsia="宋体"/>
      <w:kern w:val="2"/>
      <w:sz w:val="21"/>
      <w:szCs w:val="24"/>
      <w:lang w:val="en-US" w:eastAsia="zh-CN" w:bidi="ar-SA"/>
    </w:rPr>
  </w:style>
  <w:style w:type="character" w:customStyle="1" w:styleId="279">
    <w:name w:val="标题 1 Char1"/>
    <w:basedOn w:val="70"/>
    <w:qFormat/>
    <w:locked/>
    <w:uiPriority w:val="0"/>
    <w:rPr>
      <w:rFonts w:hint="default" w:ascii="Times New Roman" w:hAnsi="Times New Roman" w:eastAsia="黑体" w:cs="Times New Roman"/>
      <w:b/>
      <w:bCs/>
      <w:kern w:val="44"/>
      <w:sz w:val="36"/>
      <w:szCs w:val="44"/>
    </w:rPr>
  </w:style>
  <w:style w:type="character" w:customStyle="1" w:styleId="280">
    <w:name w:val="公式 Char Char Char"/>
    <w:basedOn w:val="70"/>
    <w:qFormat/>
    <w:uiPriority w:val="0"/>
    <w:rPr>
      <w:rFonts w:hint="eastAsia" w:ascii="宋体" w:hAnsi="宋体" w:eastAsia="宋体"/>
      <w:kern w:val="2"/>
      <w:sz w:val="24"/>
      <w:szCs w:val="24"/>
      <w:lang w:val="en-US" w:eastAsia="zh-CN" w:bidi="ar-SA"/>
    </w:rPr>
  </w:style>
  <w:style w:type="character" w:customStyle="1" w:styleId="281">
    <w:name w:val="fwriter1"/>
    <w:basedOn w:val="70"/>
    <w:qFormat/>
    <w:uiPriority w:val="0"/>
    <w:rPr>
      <w:color w:val="A50010"/>
    </w:rPr>
  </w:style>
  <w:style w:type="character" w:customStyle="1" w:styleId="282">
    <w:name w:val="16bb"/>
    <w:basedOn w:val="70"/>
    <w:qFormat/>
    <w:uiPriority w:val="0"/>
  </w:style>
  <w:style w:type="character" w:customStyle="1" w:styleId="283">
    <w:name w:val="apple-style-span"/>
    <w:basedOn w:val="70"/>
    <w:qFormat/>
    <w:uiPriority w:val="0"/>
  </w:style>
  <w:style w:type="character" w:customStyle="1" w:styleId="284">
    <w:name w:val="Font Style14"/>
    <w:basedOn w:val="70"/>
    <w:qFormat/>
    <w:uiPriority w:val="0"/>
    <w:rPr>
      <w:rFonts w:hint="default" w:ascii="Cambria" w:hAnsi="Cambria" w:cs="Cambria"/>
      <w:i/>
      <w:iCs/>
      <w:sz w:val="20"/>
      <w:szCs w:val="20"/>
    </w:rPr>
  </w:style>
  <w:style w:type="character" w:customStyle="1" w:styleId="285">
    <w:name w:val="Font Style15"/>
    <w:basedOn w:val="70"/>
    <w:qFormat/>
    <w:uiPriority w:val="0"/>
    <w:rPr>
      <w:rFonts w:hint="eastAsia" w:ascii="MingLiU" w:hAnsi="MingLiU" w:eastAsia="MingLiU" w:cs="MingLiU"/>
      <w:sz w:val="34"/>
      <w:szCs w:val="34"/>
    </w:rPr>
  </w:style>
  <w:style w:type="character" w:customStyle="1" w:styleId="286">
    <w:name w:val="Font Style18"/>
    <w:basedOn w:val="70"/>
    <w:qFormat/>
    <w:uiPriority w:val="0"/>
    <w:rPr>
      <w:rFonts w:hint="eastAsia" w:ascii="MingLiU" w:hAnsi="MingLiU" w:eastAsia="MingLiU" w:cs="MingLiU"/>
      <w:sz w:val="8"/>
      <w:szCs w:val="8"/>
    </w:rPr>
  </w:style>
  <w:style w:type="character" w:customStyle="1" w:styleId="287">
    <w:name w:val="Font Style20"/>
    <w:basedOn w:val="70"/>
    <w:qFormat/>
    <w:uiPriority w:val="0"/>
    <w:rPr>
      <w:rFonts w:hint="default" w:ascii="Cambria" w:hAnsi="Cambria" w:cs="Cambria"/>
      <w:b/>
      <w:bCs/>
      <w:spacing w:val="-20"/>
      <w:sz w:val="26"/>
      <w:szCs w:val="26"/>
    </w:rPr>
  </w:style>
  <w:style w:type="character" w:customStyle="1" w:styleId="288">
    <w:name w:val="Font Style23"/>
    <w:basedOn w:val="70"/>
    <w:qFormat/>
    <w:uiPriority w:val="0"/>
    <w:rPr>
      <w:rFonts w:hint="eastAsia" w:ascii="宋体" w:hAnsi="宋体" w:eastAsia="宋体" w:cs="宋体"/>
      <w:b/>
      <w:bCs/>
      <w:spacing w:val="30"/>
      <w:sz w:val="16"/>
      <w:szCs w:val="16"/>
    </w:rPr>
  </w:style>
  <w:style w:type="character" w:customStyle="1" w:styleId="289">
    <w:name w:val="Font Style24"/>
    <w:basedOn w:val="70"/>
    <w:qFormat/>
    <w:uiPriority w:val="0"/>
    <w:rPr>
      <w:rFonts w:hint="default" w:ascii="Cambria" w:hAnsi="Cambria" w:cs="Cambria"/>
      <w:spacing w:val="-10"/>
      <w:sz w:val="20"/>
      <w:szCs w:val="20"/>
    </w:rPr>
  </w:style>
  <w:style w:type="character" w:customStyle="1" w:styleId="290">
    <w:name w:val="Font Style25"/>
    <w:basedOn w:val="70"/>
    <w:qFormat/>
    <w:uiPriority w:val="0"/>
    <w:rPr>
      <w:rFonts w:hint="eastAsia" w:ascii="宋体" w:hAnsi="宋体" w:eastAsia="宋体" w:cs="宋体"/>
      <w:spacing w:val="10"/>
      <w:sz w:val="18"/>
      <w:szCs w:val="18"/>
    </w:rPr>
  </w:style>
  <w:style w:type="character" w:customStyle="1" w:styleId="291">
    <w:name w:val="Font Style28"/>
    <w:basedOn w:val="70"/>
    <w:qFormat/>
    <w:uiPriority w:val="0"/>
    <w:rPr>
      <w:rFonts w:hint="default" w:ascii="Cambria" w:hAnsi="Cambria" w:cs="Cambria"/>
      <w:sz w:val="18"/>
      <w:szCs w:val="18"/>
    </w:rPr>
  </w:style>
  <w:style w:type="character" w:customStyle="1" w:styleId="292">
    <w:name w:val="Font Style12"/>
    <w:basedOn w:val="70"/>
    <w:qFormat/>
    <w:uiPriority w:val="0"/>
    <w:rPr>
      <w:rFonts w:hint="eastAsia" w:ascii="宋体" w:hAnsi="宋体" w:eastAsia="宋体" w:cs="宋体"/>
      <w:b/>
      <w:bCs/>
      <w:sz w:val="26"/>
      <w:szCs w:val="26"/>
    </w:rPr>
  </w:style>
  <w:style w:type="character" w:customStyle="1" w:styleId="293">
    <w:name w:val="Font Style13"/>
    <w:basedOn w:val="70"/>
    <w:qFormat/>
    <w:uiPriority w:val="0"/>
    <w:rPr>
      <w:rFonts w:hint="eastAsia" w:ascii="MingLiU" w:hAnsi="MingLiU" w:eastAsia="MingLiU" w:cs="MingLiU"/>
      <w:b/>
      <w:bCs/>
      <w:w w:val="150"/>
      <w:sz w:val="16"/>
      <w:szCs w:val="16"/>
    </w:rPr>
  </w:style>
  <w:style w:type="character" w:customStyle="1" w:styleId="294">
    <w:name w:val="Font Style11"/>
    <w:basedOn w:val="70"/>
    <w:qFormat/>
    <w:uiPriority w:val="0"/>
    <w:rPr>
      <w:rFonts w:hint="eastAsia" w:ascii="宋体" w:hAnsi="宋体" w:eastAsia="宋体" w:cs="宋体"/>
      <w:sz w:val="50"/>
      <w:szCs w:val="50"/>
    </w:rPr>
  </w:style>
  <w:style w:type="character" w:customStyle="1" w:styleId="295">
    <w:name w:val="Font Style16"/>
    <w:basedOn w:val="70"/>
    <w:qFormat/>
    <w:uiPriority w:val="0"/>
    <w:rPr>
      <w:rFonts w:hint="eastAsia" w:ascii="宋体" w:hAnsi="宋体" w:eastAsia="宋体" w:cs="宋体"/>
      <w:spacing w:val="-10"/>
      <w:sz w:val="22"/>
      <w:szCs w:val="22"/>
    </w:rPr>
  </w:style>
  <w:style w:type="character" w:customStyle="1" w:styleId="296">
    <w:name w:val="Font Style21"/>
    <w:basedOn w:val="70"/>
    <w:qFormat/>
    <w:uiPriority w:val="0"/>
    <w:rPr>
      <w:rFonts w:hint="eastAsia" w:ascii="宋体" w:hAnsi="宋体" w:eastAsia="宋体" w:cs="宋体"/>
      <w:b/>
      <w:bCs/>
      <w:sz w:val="22"/>
      <w:szCs w:val="22"/>
    </w:rPr>
  </w:style>
  <w:style w:type="character" w:customStyle="1" w:styleId="297">
    <w:name w:val="Font Style22"/>
    <w:basedOn w:val="70"/>
    <w:qFormat/>
    <w:uiPriority w:val="0"/>
    <w:rPr>
      <w:rFonts w:hint="eastAsia" w:ascii="宋体" w:hAnsi="宋体" w:eastAsia="宋体" w:cs="宋体"/>
      <w:b/>
      <w:bCs/>
      <w:sz w:val="22"/>
      <w:szCs w:val="22"/>
    </w:rPr>
  </w:style>
  <w:style w:type="character" w:customStyle="1" w:styleId="298">
    <w:name w:val="Font Style26"/>
    <w:basedOn w:val="70"/>
    <w:qFormat/>
    <w:uiPriority w:val="0"/>
    <w:rPr>
      <w:rFonts w:hint="eastAsia" w:ascii="宋体" w:hAnsi="宋体" w:eastAsia="宋体" w:cs="宋体"/>
      <w:b/>
      <w:bCs/>
      <w:sz w:val="22"/>
      <w:szCs w:val="22"/>
    </w:rPr>
  </w:style>
  <w:style w:type="character" w:customStyle="1" w:styleId="299">
    <w:name w:val="Font Style29"/>
    <w:basedOn w:val="70"/>
    <w:qFormat/>
    <w:uiPriority w:val="0"/>
    <w:rPr>
      <w:rFonts w:hint="default" w:ascii="Constantia" w:hAnsi="Constantia" w:cs="Constantia"/>
      <w:spacing w:val="-20"/>
      <w:sz w:val="22"/>
      <w:szCs w:val="22"/>
    </w:rPr>
  </w:style>
  <w:style w:type="character" w:customStyle="1" w:styleId="300">
    <w:name w:val="Font Style27"/>
    <w:basedOn w:val="70"/>
    <w:qFormat/>
    <w:uiPriority w:val="0"/>
    <w:rPr>
      <w:rFonts w:hint="default" w:ascii="Constantia" w:hAnsi="Constantia" w:cs="Constantia"/>
      <w:i/>
      <w:iCs/>
      <w:spacing w:val="-20"/>
      <w:sz w:val="22"/>
      <w:szCs w:val="22"/>
    </w:rPr>
  </w:style>
  <w:style w:type="character" w:customStyle="1" w:styleId="301">
    <w:name w:val="Font Style19"/>
    <w:basedOn w:val="70"/>
    <w:qFormat/>
    <w:uiPriority w:val="0"/>
    <w:rPr>
      <w:rFonts w:hint="eastAsia" w:ascii="宋体" w:hAnsi="宋体" w:eastAsia="宋体" w:cs="宋体"/>
      <w:b/>
      <w:bCs/>
      <w:sz w:val="22"/>
      <w:szCs w:val="22"/>
    </w:rPr>
  </w:style>
  <w:style w:type="paragraph" w:customStyle="1" w:styleId="302">
    <w:name w:val="Char Char Char"/>
    <w:basedOn w:val="1"/>
    <w:qFormat/>
    <w:uiPriority w:val="99"/>
    <w:pPr>
      <w:widowControl w:val="0"/>
      <w:numPr>
        <w:ilvl w:val="0"/>
        <w:numId w:val="14"/>
      </w:numPr>
      <w:tabs>
        <w:tab w:val="clear" w:pos="420"/>
      </w:tabs>
      <w:spacing w:line="360" w:lineRule="auto"/>
      <w:ind w:left="0" w:firstLine="200"/>
      <w:jc w:val="both"/>
    </w:pPr>
    <w:rPr>
      <w:rFonts w:ascii="宋体" w:hAnsi="宋体" w:eastAsia="宋体" w:cs="宋体"/>
      <w:sz w:val="24"/>
      <w:szCs w:val="24"/>
    </w:rPr>
  </w:style>
  <w:style w:type="paragraph" w:customStyle="1" w:styleId="303">
    <w:name w:val="段"/>
    <w:basedOn w:val="1"/>
    <w:link w:val="383"/>
    <w:qFormat/>
    <w:uiPriority w:val="0"/>
    <w:pPr>
      <w:widowControl w:val="0"/>
      <w:spacing w:line="360" w:lineRule="auto"/>
      <w:ind w:firstLine="480"/>
      <w:jc w:val="both"/>
    </w:pPr>
    <w:rPr>
      <w:rFonts w:ascii="宋体" w:hAnsi="宋体" w:eastAsia="宋体"/>
      <w:sz w:val="24"/>
      <w:szCs w:val="24"/>
    </w:rPr>
  </w:style>
  <w:style w:type="paragraph" w:customStyle="1" w:styleId="304">
    <w:name w:val="圆2"/>
    <w:basedOn w:val="1"/>
    <w:qFormat/>
    <w:uiPriority w:val="99"/>
    <w:pPr>
      <w:widowControl w:val="0"/>
      <w:tabs>
        <w:tab w:val="left" w:pos="432"/>
      </w:tabs>
      <w:spacing w:line="360" w:lineRule="auto"/>
      <w:ind w:left="432" w:firstLine="0" w:firstLineChars="0"/>
      <w:jc w:val="both"/>
    </w:pPr>
    <w:rPr>
      <w:rFonts w:ascii="宋体" w:eastAsia="宋体"/>
      <w:sz w:val="24"/>
      <w:szCs w:val="24"/>
    </w:rPr>
  </w:style>
  <w:style w:type="paragraph" w:customStyle="1" w:styleId="305">
    <w:name w:val="xl27"/>
    <w:basedOn w:val="1"/>
    <w:qFormat/>
    <w:uiPriority w:val="99"/>
    <w:pPr>
      <w:spacing w:before="100" w:beforeAutospacing="1" w:after="100" w:afterAutospacing="1" w:line="240" w:lineRule="auto"/>
      <w:ind w:firstLine="0" w:firstLineChars="0"/>
      <w:jc w:val="center"/>
    </w:pPr>
    <w:rPr>
      <w:rFonts w:ascii="宋体" w:hAnsi="宋体" w:eastAsia="宋体"/>
      <w:kern w:val="0"/>
      <w:sz w:val="24"/>
      <w:szCs w:val="24"/>
    </w:rPr>
  </w:style>
  <w:style w:type="paragraph" w:customStyle="1" w:styleId="306">
    <w:name w:val="圆"/>
    <w:basedOn w:val="1"/>
    <w:qFormat/>
    <w:uiPriority w:val="99"/>
    <w:pPr>
      <w:widowControl w:val="0"/>
      <w:tabs>
        <w:tab w:val="left" w:pos="476"/>
      </w:tabs>
      <w:spacing w:line="360" w:lineRule="auto"/>
      <w:ind w:left="480" w:hanging="480" w:hangingChars="200"/>
      <w:jc w:val="both"/>
    </w:pPr>
    <w:rPr>
      <w:rFonts w:ascii="宋体" w:eastAsia="宋体"/>
      <w:sz w:val="24"/>
      <w:szCs w:val="24"/>
    </w:rPr>
  </w:style>
  <w:style w:type="paragraph" w:customStyle="1" w:styleId="307">
    <w:name w:val="小括号"/>
    <w:basedOn w:val="303"/>
    <w:qFormat/>
    <w:uiPriority w:val="99"/>
    <w:pPr>
      <w:ind w:left="721" w:leftChars="86" w:hanging="540" w:hangingChars="224"/>
    </w:pPr>
    <w:rPr>
      <w:b/>
      <w:bCs/>
    </w:rPr>
  </w:style>
  <w:style w:type="paragraph" w:customStyle="1" w:styleId="308">
    <w:name w:val="表格正文"/>
    <w:basedOn w:val="17"/>
    <w:qFormat/>
    <w:uiPriority w:val="99"/>
    <w:pPr>
      <w:spacing w:line="240" w:lineRule="auto"/>
      <w:ind w:firstLine="0"/>
      <w:jc w:val="center"/>
    </w:pPr>
    <w:rPr>
      <w:rFonts w:ascii="宋体"/>
      <w:sz w:val="21"/>
    </w:rPr>
  </w:style>
  <w:style w:type="character" w:customStyle="1" w:styleId="309">
    <w:name w:val="正文缩进 Char"/>
    <w:link w:val="17"/>
    <w:qFormat/>
    <w:uiPriority w:val="0"/>
    <w:rPr>
      <w:rFonts w:ascii="Times New Roman" w:hAnsi="Times New Roman" w:eastAsia="宋体" w:cs="Times New Roman"/>
      <w:sz w:val="24"/>
      <w:szCs w:val="20"/>
    </w:rPr>
  </w:style>
  <w:style w:type="paragraph" w:customStyle="1" w:styleId="310">
    <w:name w:val="节"/>
    <w:basedOn w:val="1"/>
    <w:qFormat/>
    <w:uiPriority w:val="99"/>
    <w:pPr>
      <w:widowControl w:val="0"/>
      <w:spacing w:beforeLines="100" w:line="360" w:lineRule="auto"/>
      <w:ind w:firstLine="0" w:firstLineChars="0"/>
      <w:jc w:val="both"/>
    </w:pPr>
    <w:rPr>
      <w:rFonts w:ascii="黑体" w:eastAsia="黑体"/>
      <w:b/>
      <w:sz w:val="24"/>
      <w:szCs w:val="24"/>
    </w:rPr>
  </w:style>
  <w:style w:type="paragraph" w:customStyle="1" w:styleId="311">
    <w:name w:val="节2"/>
    <w:basedOn w:val="1"/>
    <w:qFormat/>
    <w:uiPriority w:val="99"/>
    <w:pPr>
      <w:widowControl w:val="0"/>
      <w:spacing w:beforeLines="100" w:afterLines="50" w:line="360" w:lineRule="auto"/>
      <w:ind w:firstLine="0" w:firstLineChars="0"/>
      <w:jc w:val="both"/>
    </w:pPr>
    <w:rPr>
      <w:rFonts w:ascii="黑体" w:hAnsi="宋体" w:eastAsia="黑体"/>
      <w:sz w:val="24"/>
      <w:szCs w:val="24"/>
    </w:rPr>
  </w:style>
  <w:style w:type="paragraph" w:customStyle="1" w:styleId="312">
    <w:name w:val="zlu1"/>
    <w:basedOn w:val="1"/>
    <w:qFormat/>
    <w:uiPriority w:val="99"/>
    <w:pPr>
      <w:widowControl w:val="0"/>
      <w:spacing w:beforeLines="100" w:afterLines="50" w:line="360" w:lineRule="auto"/>
      <w:ind w:firstLine="0" w:firstLineChars="0"/>
      <w:jc w:val="both"/>
      <w:outlineLvl w:val="1"/>
    </w:pPr>
    <w:rPr>
      <w:rFonts w:ascii="黑体" w:eastAsia="黑体"/>
      <w:szCs w:val="28"/>
    </w:rPr>
  </w:style>
  <w:style w:type="paragraph" w:customStyle="1" w:styleId="313">
    <w:name w:val="图表名"/>
    <w:basedOn w:val="1"/>
    <w:qFormat/>
    <w:uiPriority w:val="99"/>
    <w:pPr>
      <w:spacing w:afterLines="50"/>
      <w:ind w:firstLine="0" w:firstLineChars="0"/>
      <w:jc w:val="center"/>
    </w:pPr>
    <w:rPr>
      <w:rFonts w:ascii="黑体" w:eastAsia="黑体"/>
      <w:kern w:val="0"/>
      <w:sz w:val="22"/>
      <w:szCs w:val="22"/>
    </w:rPr>
  </w:style>
  <w:style w:type="paragraph" w:customStyle="1" w:styleId="314">
    <w:name w:val="正文_0"/>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315">
    <w:name w:val="交管标题3"/>
    <w:basedOn w:val="4"/>
    <w:qFormat/>
    <w:uiPriority w:val="99"/>
    <w:pPr>
      <w:widowControl w:val="0"/>
      <w:spacing w:before="120" w:after="120" w:line="415" w:lineRule="auto"/>
      <w:jc w:val="both"/>
    </w:pPr>
    <w:rPr>
      <w:rFonts w:ascii="宋体" w:hAnsi="宋体" w:eastAsiaTheme="majorEastAsia" w:cstheme="minorBidi"/>
      <w:b w:val="0"/>
      <w:caps/>
      <w:sz w:val="28"/>
      <w:szCs w:val="21"/>
    </w:rPr>
  </w:style>
  <w:style w:type="paragraph" w:customStyle="1" w:styleId="316">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17">
    <w:name w:val="正文_0_0"/>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318">
    <w:name w:val="样式 样式 样式 标题 3 + 段前: 0.5 行 段后: 0.5 行 + 段前: 0.5 行 段后: 0.5 行 + 段前: ..."/>
    <w:basedOn w:val="1"/>
    <w:next w:val="1"/>
    <w:qFormat/>
    <w:uiPriority w:val="99"/>
    <w:pPr>
      <w:keepNext/>
      <w:keepLines/>
      <w:widowControl w:val="0"/>
      <w:numPr>
        <w:ilvl w:val="2"/>
        <w:numId w:val="15"/>
      </w:numPr>
      <w:tabs>
        <w:tab w:val="left" w:pos="420"/>
      </w:tabs>
      <w:spacing w:beforeLines="50" w:afterLines="50" w:line="415" w:lineRule="auto"/>
      <w:ind w:firstLine="0" w:firstLineChars="0"/>
      <w:jc w:val="both"/>
      <w:outlineLvl w:val="2"/>
    </w:pPr>
    <w:rPr>
      <w:rFonts w:eastAsia="黑体" w:cs="宋体"/>
      <w:b/>
      <w:bCs/>
    </w:rPr>
  </w:style>
  <w:style w:type="paragraph" w:customStyle="1" w:styleId="319">
    <w:name w:val="样式 样式 样式 样式 样式 标题 2 + 段前: 0.5 行 段后: 0.5 行 + 段前: 0.5 行 段后: 0.5 行1..."/>
    <w:basedOn w:val="1"/>
    <w:qFormat/>
    <w:uiPriority w:val="99"/>
    <w:pPr>
      <w:keepNext/>
      <w:keepLines/>
      <w:widowControl w:val="0"/>
      <w:numPr>
        <w:ilvl w:val="1"/>
        <w:numId w:val="15"/>
      </w:numPr>
      <w:tabs>
        <w:tab w:val="left" w:pos="630"/>
      </w:tabs>
      <w:spacing w:beforeLines="50" w:afterLines="50" w:line="415" w:lineRule="auto"/>
      <w:ind w:firstLine="0" w:firstLineChars="0"/>
      <w:jc w:val="both"/>
      <w:outlineLvl w:val="1"/>
    </w:pPr>
    <w:rPr>
      <w:rFonts w:ascii="Arial" w:hAnsi="Arial" w:eastAsia="黑体" w:cs="宋体"/>
      <w:b/>
      <w:bCs/>
      <w:sz w:val="30"/>
    </w:rPr>
  </w:style>
  <w:style w:type="paragraph" w:customStyle="1" w:styleId="320">
    <w:name w:val="Char Char1 Char Char Char Char Char Char Char Char Char Char"/>
    <w:basedOn w:val="1"/>
    <w:qFormat/>
    <w:uiPriority w:val="99"/>
    <w:pPr>
      <w:widowControl w:val="0"/>
      <w:tabs>
        <w:tab w:val="left" w:pos="432"/>
      </w:tabs>
      <w:spacing w:line="240" w:lineRule="auto"/>
      <w:ind w:left="432" w:firstLine="0" w:firstLineChars="0"/>
      <w:jc w:val="both"/>
    </w:pPr>
    <w:rPr>
      <w:rFonts w:eastAsia="宋体"/>
      <w:sz w:val="24"/>
      <w:szCs w:val="24"/>
    </w:rPr>
  </w:style>
  <w:style w:type="paragraph" w:customStyle="1" w:styleId="321">
    <w:name w:val="Char"/>
    <w:basedOn w:val="20"/>
    <w:qFormat/>
    <w:uiPriority w:val="99"/>
    <w:rPr>
      <w:rFonts w:ascii="Tahoma" w:hAnsi="Tahoma" w:cs="Tahoma"/>
      <w:sz w:val="24"/>
    </w:rPr>
  </w:style>
  <w:style w:type="paragraph" w:customStyle="1" w:styleId="322">
    <w:name w:val="Char1 Char Char Char Char Char Char Char Char Char Char Char Char1 Char Char Char Char Char1 Char Char Char Char Char Char Char Char Char1 Char"/>
    <w:basedOn w:val="1"/>
    <w:qFormat/>
    <w:uiPriority w:val="99"/>
    <w:pPr>
      <w:spacing w:after="160" w:line="240" w:lineRule="exact"/>
      <w:ind w:firstLine="560"/>
    </w:pPr>
    <w:rPr>
      <w:rFonts w:ascii="宋体" w:hAnsi="宋体" w:eastAsia="宋体"/>
      <w:kern w:val="0"/>
      <w:szCs w:val="28"/>
      <w:lang w:eastAsia="en-US"/>
    </w:rPr>
  </w:style>
  <w:style w:type="paragraph" w:customStyle="1" w:styleId="323">
    <w:name w:val="样式 小四"/>
    <w:basedOn w:val="1"/>
    <w:link w:val="324"/>
    <w:qFormat/>
    <w:uiPriority w:val="0"/>
    <w:pPr>
      <w:widowControl w:val="0"/>
      <w:spacing w:line="360" w:lineRule="auto"/>
      <w:jc w:val="both"/>
    </w:pPr>
    <w:rPr>
      <w:rFonts w:eastAsia="宋体" w:cs="宋体"/>
      <w:sz w:val="24"/>
    </w:rPr>
  </w:style>
  <w:style w:type="character" w:customStyle="1" w:styleId="324">
    <w:name w:val="样式 小四 Char"/>
    <w:basedOn w:val="70"/>
    <w:link w:val="323"/>
    <w:qFormat/>
    <w:uiPriority w:val="0"/>
    <w:rPr>
      <w:rFonts w:ascii="Times New Roman" w:hAnsi="Times New Roman" w:eastAsia="宋体" w:cs="宋体"/>
      <w:sz w:val="24"/>
      <w:szCs w:val="20"/>
    </w:rPr>
  </w:style>
  <w:style w:type="character" w:customStyle="1" w:styleId="325">
    <w:name w:val="正文居中 Char Char Char"/>
    <w:qFormat/>
    <w:uiPriority w:val="0"/>
    <w:rPr>
      <w:sz w:val="24"/>
      <w:szCs w:val="24"/>
    </w:rPr>
  </w:style>
  <w:style w:type="character" w:customStyle="1" w:styleId="326">
    <w:name w:val="图表 Char Char"/>
    <w:qFormat/>
    <w:uiPriority w:val="0"/>
    <w:rPr>
      <w:rFonts w:ascii="宋体" w:hAnsi="宋体" w:cs="Times New Roman"/>
      <w:kern w:val="0"/>
      <w:szCs w:val="21"/>
    </w:rPr>
  </w:style>
  <w:style w:type="character" w:customStyle="1" w:styleId="327">
    <w:name w:val="正文1 Char Char"/>
    <w:qFormat/>
    <w:uiPriority w:val="0"/>
    <w:rPr>
      <w:rFonts w:ascii="Times New Roman" w:hAnsi="Times New Roman" w:eastAsia="宋体" w:cs="Times New Roman"/>
      <w:sz w:val="24"/>
      <w:szCs w:val="24"/>
    </w:rPr>
  </w:style>
  <w:style w:type="character" w:customStyle="1" w:styleId="328">
    <w:name w:val="5号字 Char Char Char"/>
    <w:qFormat/>
    <w:uiPriority w:val="0"/>
    <w:rPr>
      <w:szCs w:val="24"/>
    </w:rPr>
  </w:style>
  <w:style w:type="character" w:customStyle="1" w:styleId="329">
    <w:name w:val="公式 Char Char Char Char"/>
    <w:qFormat/>
    <w:uiPriority w:val="0"/>
    <w:rPr>
      <w:sz w:val="24"/>
      <w:szCs w:val="24"/>
    </w:rPr>
  </w:style>
  <w:style w:type="character" w:customStyle="1" w:styleId="330">
    <w:name w:val="样式 小四 Char Char"/>
    <w:qFormat/>
    <w:uiPriority w:val="0"/>
    <w:rPr>
      <w:rFonts w:ascii="Times New Roman" w:hAnsi="Times New Roman" w:eastAsia="宋体" w:cs="宋体"/>
      <w:sz w:val="24"/>
      <w:szCs w:val="20"/>
    </w:rPr>
  </w:style>
  <w:style w:type="character" w:customStyle="1" w:styleId="331">
    <w:name w:val="表格内容 Char Char"/>
    <w:qFormat/>
    <w:uiPriority w:val="0"/>
    <w:rPr>
      <w:rFonts w:ascii="Times New Roman" w:hAnsi="Times New Roman" w:eastAsia="宋体" w:cs="Times New Roman"/>
      <w:color w:val="000000"/>
      <w:kern w:val="0"/>
      <w:szCs w:val="21"/>
    </w:rPr>
  </w:style>
  <w:style w:type="character" w:customStyle="1" w:styleId="332">
    <w:name w:val="123标题下的小点 Char Char"/>
    <w:qFormat/>
    <w:uiPriority w:val="0"/>
    <w:rPr>
      <w:rFonts w:ascii="宋体" w:hAnsi="宋体"/>
    </w:rPr>
  </w:style>
  <w:style w:type="character" w:customStyle="1" w:styleId="333">
    <w:name w:val="未处理的提及1"/>
    <w:basedOn w:val="70"/>
    <w:semiHidden/>
    <w:unhideWhenUsed/>
    <w:qFormat/>
    <w:uiPriority w:val="99"/>
    <w:rPr>
      <w:color w:val="808080"/>
      <w:shd w:val="clear" w:color="auto" w:fill="E6E6E6"/>
    </w:rPr>
  </w:style>
  <w:style w:type="paragraph" w:customStyle="1" w:styleId="334">
    <w:name w:val="各节二级标题"/>
    <w:basedOn w:val="1"/>
    <w:next w:val="1"/>
    <w:link w:val="335"/>
    <w:qFormat/>
    <w:uiPriority w:val="0"/>
    <w:pPr>
      <w:widowControl w:val="0"/>
      <w:spacing w:before="50" w:beforeLines="50" w:after="50" w:afterLines="50" w:line="360" w:lineRule="auto"/>
      <w:ind w:firstLine="0" w:firstLineChars="0"/>
    </w:pPr>
    <w:rPr>
      <w:rFonts w:eastAsia="黑体" w:cstheme="minorBidi"/>
      <w:szCs w:val="21"/>
      <w:lang w:val="zh-CN"/>
    </w:rPr>
  </w:style>
  <w:style w:type="character" w:customStyle="1" w:styleId="335">
    <w:name w:val="各节二级标题 Char"/>
    <w:link w:val="334"/>
    <w:qFormat/>
    <w:uiPriority w:val="0"/>
    <w:rPr>
      <w:rFonts w:ascii="Times New Roman" w:hAnsi="Times New Roman" w:eastAsia="黑体"/>
      <w:sz w:val="28"/>
      <w:szCs w:val="21"/>
      <w:lang w:val="zh-CN" w:eastAsia="zh-CN"/>
    </w:rPr>
  </w:style>
  <w:style w:type="paragraph" w:customStyle="1" w:styleId="336">
    <w:name w:val="各节三级标题"/>
    <w:basedOn w:val="1"/>
    <w:next w:val="1"/>
    <w:link w:val="337"/>
    <w:qFormat/>
    <w:uiPriority w:val="0"/>
    <w:pPr>
      <w:widowControl w:val="0"/>
      <w:spacing w:before="50" w:beforeLines="50" w:after="50" w:afterLines="50" w:line="360" w:lineRule="auto"/>
      <w:ind w:firstLine="0" w:firstLineChars="0"/>
    </w:pPr>
    <w:rPr>
      <w:rFonts w:eastAsia="黑体" w:cstheme="minorBidi"/>
      <w:sz w:val="21"/>
      <w:szCs w:val="21"/>
      <w:lang w:val="zh-CN"/>
    </w:rPr>
  </w:style>
  <w:style w:type="character" w:customStyle="1" w:styleId="337">
    <w:name w:val="各节三级标题 Char"/>
    <w:link w:val="336"/>
    <w:qFormat/>
    <w:uiPriority w:val="0"/>
    <w:rPr>
      <w:rFonts w:ascii="Times New Roman" w:hAnsi="Times New Roman" w:eastAsia="黑体"/>
      <w:szCs w:val="21"/>
      <w:lang w:val="zh-CN" w:eastAsia="zh-CN"/>
    </w:rPr>
  </w:style>
  <w:style w:type="paragraph" w:customStyle="1" w:styleId="338">
    <w:name w:val="条、款、项标题"/>
    <w:basedOn w:val="1"/>
    <w:next w:val="1"/>
    <w:link w:val="339"/>
    <w:qFormat/>
    <w:uiPriority w:val="0"/>
    <w:pPr>
      <w:widowControl w:val="0"/>
      <w:spacing w:before="50" w:beforeLines="50" w:after="50" w:afterLines="50" w:line="360" w:lineRule="auto"/>
      <w:ind w:firstLine="0" w:firstLineChars="0"/>
    </w:pPr>
    <w:rPr>
      <w:rFonts w:eastAsia="黑体" w:cstheme="minorBidi"/>
      <w:sz w:val="21"/>
      <w:szCs w:val="21"/>
      <w:lang w:val="zh-CN"/>
    </w:rPr>
  </w:style>
  <w:style w:type="character" w:customStyle="1" w:styleId="339">
    <w:name w:val="条、款、项标题 Char"/>
    <w:basedOn w:val="337"/>
    <w:link w:val="338"/>
    <w:qFormat/>
    <w:uiPriority w:val="0"/>
    <w:rPr>
      <w:rFonts w:ascii="Times New Roman" w:hAnsi="Times New Roman" w:eastAsia="黑体"/>
      <w:szCs w:val="21"/>
      <w:lang w:val="zh-CN" w:eastAsia="zh-CN"/>
    </w:rPr>
  </w:style>
  <w:style w:type="paragraph" w:customStyle="1" w:styleId="340">
    <w:name w:val="小五表格正文"/>
    <w:basedOn w:val="1"/>
    <w:qFormat/>
    <w:uiPriority w:val="99"/>
    <w:pPr>
      <w:spacing w:line="220" w:lineRule="exact"/>
      <w:ind w:firstLine="0" w:firstLineChars="0"/>
      <w:jc w:val="center"/>
    </w:pPr>
    <w:rPr>
      <w:rFonts w:eastAsia="宋体" w:cs="Arial"/>
      <w:color w:val="000000"/>
      <w:kern w:val="0"/>
      <w:sz w:val="18"/>
      <w:szCs w:val="15"/>
    </w:rPr>
  </w:style>
  <w:style w:type="paragraph" w:customStyle="1" w:styleId="341">
    <w:name w:val="注释"/>
    <w:basedOn w:val="1"/>
    <w:link w:val="395"/>
    <w:qFormat/>
    <w:uiPriority w:val="0"/>
    <w:pPr>
      <w:spacing w:before="50" w:beforeLines="50" w:after="50" w:afterLines="50" w:line="240" w:lineRule="exact"/>
      <w:ind w:firstLine="0" w:firstLineChars="0"/>
    </w:pPr>
    <w:rPr>
      <w:rFonts w:eastAsia="宋体" w:cs="Arial"/>
      <w:color w:val="000000"/>
      <w:kern w:val="0"/>
      <w:sz w:val="18"/>
      <w:szCs w:val="16"/>
    </w:rPr>
  </w:style>
  <w:style w:type="paragraph" w:customStyle="1" w:styleId="342">
    <w:name w:val="msonormal"/>
    <w:basedOn w:val="1"/>
    <w:qFormat/>
    <w:uiPriority w:val="0"/>
    <w:pPr>
      <w:spacing w:before="100" w:beforeAutospacing="1" w:after="100" w:afterAutospacing="1" w:line="240" w:lineRule="auto"/>
      <w:ind w:firstLine="0" w:firstLineChars="0"/>
    </w:pPr>
    <w:rPr>
      <w:rFonts w:ascii="宋体" w:hAnsi="宋体" w:eastAsia="宋体" w:cs="宋体"/>
      <w:kern w:val="0"/>
      <w:sz w:val="21"/>
      <w:szCs w:val="24"/>
    </w:rPr>
  </w:style>
  <w:style w:type="paragraph" w:customStyle="1" w:styleId="343">
    <w:name w:val="8表格正文"/>
    <w:basedOn w:val="340"/>
    <w:qFormat/>
    <w:uiPriority w:val="99"/>
    <w:pPr>
      <w:spacing w:line="180" w:lineRule="exact"/>
    </w:pPr>
    <w:rPr>
      <w:sz w:val="16"/>
      <w:szCs w:val="16"/>
    </w:rPr>
  </w:style>
  <w:style w:type="paragraph" w:customStyle="1" w:styleId="344">
    <w:name w:val="6表格正文"/>
    <w:basedOn w:val="343"/>
    <w:qFormat/>
    <w:uiPriority w:val="99"/>
    <w:pPr>
      <w:spacing w:line="140" w:lineRule="exact"/>
    </w:pPr>
    <w:rPr>
      <w:sz w:val="15"/>
    </w:rPr>
  </w:style>
  <w:style w:type="character" w:customStyle="1" w:styleId="345">
    <w:name w:val="正文2 Char"/>
    <w:basedOn w:val="70"/>
    <w:link w:val="222"/>
    <w:qFormat/>
    <w:uiPriority w:val="0"/>
    <w:rPr>
      <w:rFonts w:ascii="Verdana" w:hAnsi="Verdana" w:eastAsia="宋体" w:cs="Times New Roman"/>
      <w:kern w:val="0"/>
      <w:szCs w:val="20"/>
      <w:lang w:eastAsia="en-US"/>
    </w:rPr>
  </w:style>
  <w:style w:type="table" w:customStyle="1" w:styleId="346">
    <w:name w:val="网格表 2 - 着色 11"/>
    <w:basedOn w:val="67"/>
    <w:qFormat/>
    <w:uiPriority w:val="47"/>
    <w:rPr>
      <w:rFonts w:ascii="Times New Roman" w:hAnsi="Times New Roman" w:eastAsia="宋体" w:cs="Times New Roman"/>
      <w:sz w:val="24"/>
    </w:rPr>
    <w:tblPr>
      <w:tblBorders>
        <w:top w:val="single" w:color="8EAADB" w:themeColor="accent1" w:themeTint="99" w:sz="2" w:space="0"/>
        <w:bottom w:val="single" w:color="8EAADB" w:themeColor="accent1" w:themeTint="99" w:sz="2" w:space="0"/>
        <w:insideH w:val="single" w:color="8EAADB" w:themeColor="accent1" w:themeTint="99" w:sz="2" w:space="0"/>
        <w:insideV w:val="single" w:color="8EAADB" w:themeColor="accent1" w:themeTint="99" w:sz="2" w:space="0"/>
      </w:tblBorders>
      <w:tblCellMar>
        <w:top w:w="0" w:type="dxa"/>
        <w:left w:w="108" w:type="dxa"/>
        <w:bottom w:w="0" w:type="dxa"/>
        <w:right w:w="108" w:type="dxa"/>
      </w:tblCellMar>
    </w:tblPr>
    <w:tblStylePr w:type="firstRow">
      <w:rPr>
        <w:b/>
        <w:bCs/>
      </w:rPr>
      <w:tcPr>
        <w:tcBorders>
          <w:top w:val="nil"/>
          <w:bottom w:val="single" w:color="8EAADB" w:themeColor="accent1" w:themeTint="99" w:sz="12" w:space="0"/>
          <w:insideH w:val="nil"/>
          <w:insideV w:val="nil"/>
        </w:tcBorders>
        <w:shd w:val="clear" w:color="auto" w:fill="FFFFFF" w:themeFill="background1"/>
      </w:tcPr>
    </w:tblStylePr>
    <w:tblStylePr w:type="lastRow">
      <w:rPr>
        <w:b/>
        <w:bCs/>
      </w:rPr>
      <w:tcPr>
        <w:tcBorders>
          <w:top w:val="double" w:color="8EAADB"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table" w:customStyle="1" w:styleId="347">
    <w:name w:val="网格表 6 彩色 - 着色 11"/>
    <w:basedOn w:val="67"/>
    <w:qFormat/>
    <w:uiPriority w:val="51"/>
    <w:rPr>
      <w:rFonts w:ascii="Times New Roman" w:hAnsi="Times New Roman" w:eastAsia="宋体" w:cs="Times New Roman"/>
      <w:color w:val="2F5597" w:themeColor="accent1" w:themeShade="BF"/>
      <w:sz w:val="24"/>
    </w:rPr>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CellMar>
        <w:top w:w="0" w:type="dxa"/>
        <w:left w:w="108" w:type="dxa"/>
        <w:bottom w:w="0" w:type="dxa"/>
        <w:right w:w="108" w:type="dxa"/>
      </w:tblCellMar>
    </w:tblPr>
    <w:tblStylePr w:type="firstRow">
      <w:rPr>
        <w:b/>
        <w:bCs/>
      </w:rPr>
      <w:tcPr>
        <w:tcBorders>
          <w:bottom w:val="single" w:color="8EAADB" w:themeColor="accent1" w:themeTint="99" w:sz="12" w:space="0"/>
        </w:tcBorders>
      </w:tcPr>
    </w:tblStylePr>
    <w:tblStylePr w:type="lastRow">
      <w:rPr>
        <w:b/>
        <w:bCs/>
      </w:rPr>
      <w:tcPr>
        <w:tcBorders>
          <w:top w:val="double" w:color="8EAADB" w:themeColor="accent1" w:themeTint="99"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character" w:customStyle="1" w:styleId="348">
    <w:name w:val="MTDisplayEquation 字符"/>
    <w:basedOn w:val="70"/>
    <w:qFormat/>
    <w:uiPriority w:val="0"/>
    <w:rPr>
      <w:rFonts w:ascii="Times New Roman" w:hAnsi="Times New Roman" w:eastAsia="宋体"/>
      <w:sz w:val="24"/>
    </w:rPr>
  </w:style>
  <w:style w:type="paragraph" w:customStyle="1" w:styleId="349">
    <w:name w:val="数据库表格"/>
    <w:basedOn w:val="1"/>
    <w:qFormat/>
    <w:uiPriority w:val="99"/>
    <w:pPr>
      <w:widowControl w:val="0"/>
      <w:tabs>
        <w:tab w:val="left" w:pos="4500"/>
      </w:tabs>
      <w:spacing w:line="240" w:lineRule="auto"/>
      <w:ind w:firstLine="0" w:firstLineChars="0"/>
      <w:jc w:val="both"/>
    </w:pPr>
    <w:rPr>
      <w:rFonts w:eastAsia="宋体"/>
      <w:sz w:val="24"/>
    </w:rPr>
  </w:style>
  <w:style w:type="paragraph" w:customStyle="1" w:styleId="350">
    <w:name w:val="封面标准文稿编辑信息"/>
    <w:qFormat/>
    <w:uiPriority w:val="99"/>
    <w:pPr>
      <w:spacing w:before="180" w:line="180" w:lineRule="exact"/>
      <w:jc w:val="center"/>
    </w:pPr>
    <w:rPr>
      <w:rFonts w:ascii="宋体" w:hAnsi="Times New Roman" w:eastAsia="宋体" w:cs="Times New Roman"/>
      <w:sz w:val="21"/>
      <w:lang w:val="en-US" w:eastAsia="zh-CN" w:bidi="ar-SA"/>
    </w:rPr>
  </w:style>
  <w:style w:type="table" w:customStyle="1" w:styleId="351">
    <w:name w:val="网格型5"/>
    <w:basedOn w:val="67"/>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52">
    <w:name w:val="标题 1 字符1"/>
    <w:basedOn w:val="70"/>
    <w:qFormat/>
    <w:uiPriority w:val="0"/>
    <w:rPr>
      <w:b/>
      <w:bCs/>
      <w:kern w:val="44"/>
      <w:sz w:val="44"/>
      <w:szCs w:val="44"/>
    </w:rPr>
  </w:style>
  <w:style w:type="character" w:customStyle="1" w:styleId="353">
    <w:name w:val="标题 2 字符1"/>
    <w:basedOn w:val="70"/>
    <w:semiHidden/>
    <w:qFormat/>
    <w:uiPriority w:val="0"/>
    <w:rPr>
      <w:rFonts w:asciiTheme="majorHAnsi" w:hAnsiTheme="majorHAnsi" w:eastAsiaTheme="majorEastAsia" w:cstheme="majorBidi"/>
      <w:b/>
      <w:bCs/>
      <w:kern w:val="2"/>
      <w:sz w:val="32"/>
      <w:szCs w:val="32"/>
    </w:rPr>
  </w:style>
  <w:style w:type="character" w:customStyle="1" w:styleId="354">
    <w:name w:val="标题 3 字符1"/>
    <w:basedOn w:val="70"/>
    <w:semiHidden/>
    <w:qFormat/>
    <w:uiPriority w:val="0"/>
    <w:rPr>
      <w:b/>
      <w:bCs/>
      <w:kern w:val="2"/>
      <w:sz w:val="32"/>
      <w:szCs w:val="32"/>
    </w:rPr>
  </w:style>
  <w:style w:type="character" w:customStyle="1" w:styleId="355">
    <w:name w:val="标题 4 字符1"/>
    <w:basedOn w:val="70"/>
    <w:semiHidden/>
    <w:qFormat/>
    <w:uiPriority w:val="0"/>
    <w:rPr>
      <w:rFonts w:asciiTheme="majorHAnsi" w:hAnsiTheme="majorHAnsi" w:eastAsiaTheme="majorEastAsia" w:cstheme="majorBidi"/>
      <w:b/>
      <w:bCs/>
      <w:kern w:val="2"/>
      <w:sz w:val="28"/>
      <w:szCs w:val="28"/>
    </w:rPr>
  </w:style>
  <w:style w:type="character" w:customStyle="1" w:styleId="356">
    <w:name w:val="标题 5 字符1"/>
    <w:basedOn w:val="70"/>
    <w:semiHidden/>
    <w:qFormat/>
    <w:uiPriority w:val="0"/>
    <w:rPr>
      <w:b/>
      <w:bCs/>
      <w:kern w:val="2"/>
      <w:sz w:val="28"/>
      <w:szCs w:val="28"/>
    </w:rPr>
  </w:style>
  <w:style w:type="character" w:customStyle="1" w:styleId="357">
    <w:name w:val="标题 6 字符1"/>
    <w:basedOn w:val="70"/>
    <w:semiHidden/>
    <w:qFormat/>
    <w:uiPriority w:val="0"/>
    <w:rPr>
      <w:rFonts w:asciiTheme="majorHAnsi" w:hAnsiTheme="majorHAnsi" w:eastAsiaTheme="majorEastAsia" w:cstheme="majorBidi"/>
      <w:b/>
      <w:bCs/>
      <w:kern w:val="2"/>
      <w:szCs w:val="24"/>
    </w:rPr>
  </w:style>
  <w:style w:type="character" w:customStyle="1" w:styleId="358">
    <w:name w:val="标题 7 字符1"/>
    <w:basedOn w:val="70"/>
    <w:semiHidden/>
    <w:qFormat/>
    <w:uiPriority w:val="99"/>
    <w:rPr>
      <w:b/>
      <w:bCs/>
      <w:kern w:val="2"/>
      <w:szCs w:val="24"/>
    </w:rPr>
  </w:style>
  <w:style w:type="character" w:customStyle="1" w:styleId="359">
    <w:name w:val="未处理的提及11"/>
    <w:basedOn w:val="70"/>
    <w:semiHidden/>
    <w:qFormat/>
    <w:uiPriority w:val="99"/>
    <w:rPr>
      <w:color w:val="808080"/>
      <w:shd w:val="clear" w:color="auto" w:fill="E6E6E6"/>
    </w:rPr>
  </w:style>
  <w:style w:type="character" w:customStyle="1" w:styleId="360">
    <w:name w:val="表格 字符"/>
    <w:basedOn w:val="70"/>
    <w:link w:val="361"/>
    <w:qFormat/>
    <w:locked/>
    <w:uiPriority w:val="0"/>
    <w:rPr>
      <w:color w:val="000000"/>
      <w:kern w:val="0"/>
      <w:sz w:val="20"/>
    </w:rPr>
  </w:style>
  <w:style w:type="paragraph" w:customStyle="1" w:styleId="361">
    <w:name w:val="表格"/>
    <w:basedOn w:val="1"/>
    <w:link w:val="360"/>
    <w:qFormat/>
    <w:uiPriority w:val="0"/>
    <w:pPr>
      <w:spacing w:line="240" w:lineRule="auto"/>
      <w:ind w:firstLine="0" w:firstLineChars="0"/>
      <w:jc w:val="center"/>
    </w:pPr>
    <w:rPr>
      <w:rFonts w:asciiTheme="minorHAnsi" w:hAnsiTheme="minorHAnsi" w:eastAsiaTheme="minorEastAsia" w:cstheme="minorBidi"/>
      <w:color w:val="000000"/>
      <w:kern w:val="0"/>
      <w:sz w:val="20"/>
      <w:szCs w:val="22"/>
    </w:rPr>
  </w:style>
  <w:style w:type="paragraph" w:customStyle="1" w:styleId="362">
    <w:name w:val="图"/>
    <w:basedOn w:val="1"/>
    <w:link w:val="363"/>
    <w:qFormat/>
    <w:uiPriority w:val="0"/>
    <w:pPr>
      <w:widowControl w:val="0"/>
      <w:tabs>
        <w:tab w:val="left" w:pos="120"/>
      </w:tabs>
      <w:spacing w:line="240" w:lineRule="auto"/>
      <w:ind w:firstLine="0" w:firstLineChars="0"/>
      <w:jc w:val="center"/>
    </w:pPr>
    <w:rPr>
      <w:rFonts w:eastAsia="黑体" w:cs="宋体"/>
      <w:kern w:val="0"/>
      <w:sz w:val="21"/>
      <w:szCs w:val="30"/>
    </w:rPr>
  </w:style>
  <w:style w:type="character" w:customStyle="1" w:styleId="363">
    <w:name w:val="图 字符"/>
    <w:link w:val="362"/>
    <w:qFormat/>
    <w:uiPriority w:val="0"/>
    <w:rPr>
      <w:rFonts w:ascii="Times New Roman" w:hAnsi="Times New Roman" w:eastAsia="黑体" w:cs="宋体"/>
      <w:kern w:val="0"/>
      <w:szCs w:val="30"/>
    </w:rPr>
  </w:style>
  <w:style w:type="paragraph" w:customStyle="1" w:styleId="364">
    <w:name w:val="dq正文"/>
    <w:basedOn w:val="1"/>
    <w:link w:val="365"/>
    <w:qFormat/>
    <w:uiPriority w:val="0"/>
    <w:pPr>
      <w:widowControl w:val="0"/>
      <w:spacing w:line="360" w:lineRule="auto"/>
      <w:jc w:val="both"/>
    </w:pPr>
    <w:rPr>
      <w:rFonts w:eastAsia="仿宋_GB2312"/>
      <w:iCs/>
      <w:kern w:val="0"/>
      <w:sz w:val="24"/>
    </w:rPr>
  </w:style>
  <w:style w:type="character" w:customStyle="1" w:styleId="365">
    <w:name w:val="dq正文 Char"/>
    <w:link w:val="364"/>
    <w:qFormat/>
    <w:uiPriority w:val="0"/>
    <w:rPr>
      <w:rFonts w:ascii="Times New Roman" w:hAnsi="Times New Roman" w:eastAsia="仿宋_GB2312" w:cs="Times New Roman"/>
      <w:iCs/>
      <w:kern w:val="0"/>
      <w:sz w:val="24"/>
      <w:szCs w:val="20"/>
    </w:rPr>
  </w:style>
  <w:style w:type="character" w:customStyle="1" w:styleId="366">
    <w:name w:val="样式3 Char"/>
    <w:link w:val="135"/>
    <w:qFormat/>
    <w:uiPriority w:val="0"/>
    <w:rPr>
      <w:rFonts w:ascii="Times New Roman" w:hAnsi="Times New Roman" w:eastAsia="宋体"/>
    </w:rPr>
  </w:style>
  <w:style w:type="paragraph" w:customStyle="1" w:styleId="367">
    <w:name w:val="5正文"/>
    <w:link w:val="368"/>
    <w:qFormat/>
    <w:uiPriority w:val="0"/>
    <w:pPr>
      <w:spacing w:line="360" w:lineRule="auto"/>
      <w:ind w:firstLine="560" w:firstLineChars="200"/>
    </w:pPr>
    <w:rPr>
      <w:rFonts w:ascii="Times New Roman" w:hAnsi="Times New Roman" w:eastAsia="宋体" w:cs="Times New Roman"/>
      <w:color w:val="000000"/>
      <w:kern w:val="2"/>
      <w:sz w:val="28"/>
      <w:szCs w:val="28"/>
      <w:lang w:val="en-US" w:eastAsia="zh-CN" w:bidi="ar-SA"/>
    </w:rPr>
  </w:style>
  <w:style w:type="character" w:customStyle="1" w:styleId="368">
    <w:name w:val="5正文 Char"/>
    <w:link w:val="367"/>
    <w:qFormat/>
    <w:uiPriority w:val="0"/>
    <w:rPr>
      <w:rFonts w:ascii="Times New Roman" w:hAnsi="Times New Roman" w:eastAsia="宋体" w:cs="Times New Roman"/>
      <w:color w:val="000000"/>
      <w:sz w:val="28"/>
      <w:szCs w:val="28"/>
    </w:rPr>
  </w:style>
  <w:style w:type="paragraph" w:customStyle="1" w:styleId="369">
    <w:name w:val="Table Paragraph"/>
    <w:basedOn w:val="1"/>
    <w:qFormat/>
    <w:uiPriority w:val="1"/>
    <w:pPr>
      <w:widowControl w:val="0"/>
      <w:autoSpaceDE w:val="0"/>
      <w:autoSpaceDN w:val="0"/>
      <w:adjustRightInd w:val="0"/>
      <w:spacing w:line="240" w:lineRule="auto"/>
      <w:ind w:firstLine="0" w:firstLineChars="0"/>
    </w:pPr>
    <w:rPr>
      <w:rFonts w:ascii="宋体" w:eastAsia="宋体" w:cs="宋体"/>
      <w:kern w:val="0"/>
      <w:sz w:val="24"/>
      <w:szCs w:val="24"/>
    </w:rPr>
  </w:style>
  <w:style w:type="paragraph" w:customStyle="1" w:styleId="370">
    <w:name w:val="二级标题"/>
    <w:basedOn w:val="1"/>
    <w:qFormat/>
    <w:uiPriority w:val="0"/>
    <w:pPr>
      <w:widowControl w:val="0"/>
      <w:numPr>
        <w:ilvl w:val="1"/>
        <w:numId w:val="16"/>
      </w:numPr>
      <w:pBdr>
        <w:bottom w:val="single" w:color="C6D9F1" w:sz="12" w:space="1"/>
      </w:pBdr>
      <w:spacing w:before="100" w:after="100" w:line="480" w:lineRule="auto"/>
      <w:ind w:firstLine="0" w:firstLineChars="0"/>
      <w:outlineLvl w:val="1"/>
    </w:pPr>
    <w:rPr>
      <w:rFonts w:ascii="黑体" w:hAnsi="黑体" w:eastAsia="宋体"/>
      <w:b/>
      <w:bCs/>
      <w:sz w:val="30"/>
      <w:szCs w:val="24"/>
      <w:lang w:val="zh-CN"/>
    </w:rPr>
  </w:style>
  <w:style w:type="paragraph" w:customStyle="1" w:styleId="371">
    <w:name w:val="三级标题"/>
    <w:basedOn w:val="1"/>
    <w:link w:val="372"/>
    <w:qFormat/>
    <w:uiPriority w:val="0"/>
    <w:pPr>
      <w:widowControl w:val="0"/>
      <w:numPr>
        <w:ilvl w:val="2"/>
        <w:numId w:val="16"/>
      </w:numPr>
      <w:spacing w:before="100" w:after="100" w:line="480" w:lineRule="auto"/>
      <w:ind w:firstLine="0" w:firstLineChars="0"/>
      <w:contextualSpacing/>
      <w:outlineLvl w:val="2"/>
    </w:pPr>
    <w:rPr>
      <w:rFonts w:ascii="黑体" w:hAnsi="黑体" w:eastAsia="宋体"/>
      <w:b/>
      <w:bCs/>
      <w:kern w:val="0"/>
      <w:szCs w:val="24"/>
      <w:lang w:val="zh-CN"/>
    </w:rPr>
  </w:style>
  <w:style w:type="character" w:customStyle="1" w:styleId="372">
    <w:name w:val="三级标题 Char"/>
    <w:link w:val="371"/>
    <w:qFormat/>
    <w:uiPriority w:val="0"/>
    <w:rPr>
      <w:rFonts w:ascii="黑体" w:hAnsi="黑体" w:eastAsia="宋体" w:cs="Times New Roman"/>
      <w:b/>
      <w:bCs/>
      <w:kern w:val="0"/>
      <w:sz w:val="28"/>
      <w:szCs w:val="24"/>
      <w:lang w:val="zh-CN" w:eastAsia="zh-CN"/>
    </w:rPr>
  </w:style>
  <w:style w:type="paragraph" w:customStyle="1" w:styleId="373">
    <w:name w:val="font5"/>
    <w:basedOn w:val="1"/>
    <w:qFormat/>
    <w:uiPriority w:val="0"/>
    <w:pPr>
      <w:spacing w:before="100" w:beforeAutospacing="1" w:after="100" w:afterAutospacing="1" w:line="240" w:lineRule="auto"/>
      <w:ind w:firstLine="0" w:firstLineChars="0"/>
    </w:pPr>
    <w:rPr>
      <w:rFonts w:ascii="宋体" w:hAnsi="宋体" w:eastAsia="宋体" w:cs="宋体"/>
      <w:kern w:val="0"/>
      <w:sz w:val="18"/>
      <w:szCs w:val="18"/>
    </w:rPr>
  </w:style>
  <w:style w:type="paragraph" w:customStyle="1" w:styleId="374">
    <w:name w:val="xl65"/>
    <w:basedOn w:val="1"/>
    <w:qFormat/>
    <w:uiPriority w:val="0"/>
    <w:pPr>
      <w:shd w:val="clear" w:color="000000" w:fill="D9D9D9"/>
      <w:spacing w:before="100" w:beforeAutospacing="1" w:after="100" w:afterAutospacing="1" w:line="240" w:lineRule="auto"/>
      <w:ind w:firstLine="0" w:firstLineChars="0"/>
      <w:jc w:val="center"/>
      <w:textAlignment w:val="center"/>
    </w:pPr>
    <w:rPr>
      <w:rFonts w:ascii="宋体" w:hAnsi="宋体" w:eastAsia="宋体" w:cs="宋体"/>
      <w:b/>
      <w:bCs/>
      <w:color w:val="000000"/>
      <w:kern w:val="0"/>
      <w:sz w:val="24"/>
      <w:szCs w:val="24"/>
    </w:rPr>
  </w:style>
  <w:style w:type="paragraph" w:customStyle="1" w:styleId="375">
    <w:name w:val="xl66"/>
    <w:basedOn w:val="1"/>
    <w:qFormat/>
    <w:uiPriority w:val="0"/>
    <w:pPr>
      <w:spacing w:before="100" w:beforeAutospacing="1" w:after="100" w:afterAutospacing="1" w:line="240" w:lineRule="auto"/>
      <w:ind w:firstLine="0" w:firstLineChars="0"/>
      <w:jc w:val="center"/>
      <w:textAlignment w:val="center"/>
    </w:pPr>
    <w:rPr>
      <w:rFonts w:ascii="宋体" w:hAnsi="宋体" w:eastAsia="宋体" w:cs="宋体"/>
      <w:color w:val="000000"/>
      <w:kern w:val="0"/>
      <w:sz w:val="24"/>
      <w:szCs w:val="24"/>
    </w:rPr>
  </w:style>
  <w:style w:type="paragraph" w:customStyle="1" w:styleId="376">
    <w:name w:val="xl67"/>
    <w:basedOn w:val="1"/>
    <w:qFormat/>
    <w:uiPriority w:val="0"/>
    <w:pPr>
      <w:spacing w:before="100" w:beforeAutospacing="1" w:after="100" w:afterAutospacing="1" w:line="240" w:lineRule="auto"/>
      <w:ind w:firstLine="0" w:firstLineChars="0"/>
      <w:jc w:val="center"/>
    </w:pPr>
    <w:rPr>
      <w:rFonts w:ascii="宋体" w:hAnsi="宋体" w:eastAsia="宋体" w:cs="宋体"/>
      <w:kern w:val="0"/>
      <w:sz w:val="24"/>
      <w:szCs w:val="24"/>
    </w:rPr>
  </w:style>
  <w:style w:type="paragraph" w:customStyle="1" w:styleId="377">
    <w:name w:val="xl68"/>
    <w:basedOn w:val="1"/>
    <w:qFormat/>
    <w:uiPriority w:val="0"/>
    <w:pPr>
      <w:spacing w:before="100" w:beforeAutospacing="1" w:after="100" w:afterAutospacing="1" w:line="240" w:lineRule="auto"/>
      <w:ind w:firstLine="0" w:firstLineChars="0"/>
      <w:jc w:val="center"/>
      <w:textAlignment w:val="center"/>
    </w:pPr>
    <w:rPr>
      <w:rFonts w:ascii="宋体" w:hAnsi="宋体" w:eastAsia="宋体" w:cs="宋体"/>
      <w:kern w:val="0"/>
      <w:sz w:val="24"/>
      <w:szCs w:val="24"/>
    </w:rPr>
  </w:style>
  <w:style w:type="paragraph" w:customStyle="1" w:styleId="378">
    <w:name w:val="xl69"/>
    <w:basedOn w:val="1"/>
    <w:qFormat/>
    <w:uiPriority w:val="0"/>
    <w:pPr>
      <w:spacing w:before="100" w:beforeAutospacing="1" w:after="100" w:afterAutospacing="1" w:line="240" w:lineRule="auto"/>
      <w:ind w:firstLine="0" w:firstLineChars="0"/>
      <w:jc w:val="center"/>
      <w:textAlignment w:val="center"/>
    </w:pPr>
    <w:rPr>
      <w:rFonts w:ascii="宋体" w:hAnsi="宋体" w:eastAsia="宋体" w:cs="宋体"/>
      <w:kern w:val="0"/>
      <w:sz w:val="24"/>
      <w:szCs w:val="24"/>
    </w:rPr>
  </w:style>
  <w:style w:type="paragraph" w:customStyle="1" w:styleId="379">
    <w:name w:val="xl70"/>
    <w:basedOn w:val="1"/>
    <w:qFormat/>
    <w:uiPriority w:val="0"/>
    <w:pPr>
      <w:spacing w:before="100" w:beforeAutospacing="1" w:after="100" w:afterAutospacing="1" w:line="240" w:lineRule="auto"/>
      <w:ind w:firstLine="0" w:firstLineChars="0"/>
      <w:jc w:val="center"/>
    </w:pPr>
    <w:rPr>
      <w:rFonts w:ascii="宋体" w:hAnsi="宋体" w:eastAsia="宋体" w:cs="宋体"/>
      <w:color w:val="000000"/>
      <w:kern w:val="0"/>
      <w:sz w:val="24"/>
      <w:szCs w:val="24"/>
    </w:rPr>
  </w:style>
  <w:style w:type="paragraph" w:customStyle="1" w:styleId="380">
    <w:name w:val="xl71"/>
    <w:basedOn w:val="1"/>
    <w:qFormat/>
    <w:uiPriority w:val="0"/>
    <w:pPr>
      <w:pBdr>
        <w:top w:val="single" w:color="auto" w:sz="4" w:space="0"/>
      </w:pBdr>
      <w:spacing w:before="100" w:beforeAutospacing="1" w:after="100" w:afterAutospacing="1" w:line="240" w:lineRule="auto"/>
      <w:ind w:firstLine="0" w:firstLineChars="0"/>
      <w:jc w:val="center"/>
    </w:pPr>
    <w:rPr>
      <w:rFonts w:ascii="宋体" w:hAnsi="宋体" w:eastAsia="宋体" w:cs="宋体"/>
      <w:kern w:val="0"/>
      <w:sz w:val="24"/>
      <w:szCs w:val="24"/>
    </w:rPr>
  </w:style>
  <w:style w:type="paragraph" w:customStyle="1" w:styleId="381">
    <w:name w:val="xl72"/>
    <w:basedOn w:val="1"/>
    <w:qFormat/>
    <w:uiPriority w:val="0"/>
    <w:pPr>
      <w:pBdr>
        <w:top w:val="single" w:color="auto" w:sz="4" w:space="0"/>
      </w:pBdr>
      <w:spacing w:before="100" w:beforeAutospacing="1" w:after="100" w:afterAutospacing="1" w:line="240" w:lineRule="auto"/>
      <w:ind w:firstLine="0" w:firstLineChars="0"/>
      <w:jc w:val="center"/>
      <w:textAlignment w:val="center"/>
    </w:pPr>
    <w:rPr>
      <w:rFonts w:ascii="宋体" w:hAnsi="宋体" w:eastAsia="宋体" w:cs="宋体"/>
      <w:color w:val="000000"/>
      <w:kern w:val="0"/>
      <w:sz w:val="24"/>
      <w:szCs w:val="24"/>
    </w:rPr>
  </w:style>
  <w:style w:type="paragraph" w:customStyle="1" w:styleId="382">
    <w:name w:val="xl73"/>
    <w:basedOn w:val="1"/>
    <w:qFormat/>
    <w:uiPriority w:val="0"/>
    <w:pPr>
      <w:pBdr>
        <w:top w:val="single" w:color="auto" w:sz="4" w:space="0"/>
      </w:pBdr>
      <w:spacing w:before="100" w:beforeAutospacing="1" w:after="100" w:afterAutospacing="1" w:line="240" w:lineRule="auto"/>
      <w:ind w:firstLine="0" w:firstLineChars="0"/>
      <w:jc w:val="center"/>
      <w:textAlignment w:val="center"/>
    </w:pPr>
    <w:rPr>
      <w:rFonts w:ascii="宋体" w:hAnsi="宋体" w:eastAsia="宋体" w:cs="宋体"/>
      <w:kern w:val="0"/>
      <w:sz w:val="24"/>
      <w:szCs w:val="24"/>
    </w:rPr>
  </w:style>
  <w:style w:type="character" w:customStyle="1" w:styleId="383">
    <w:name w:val="段 Char"/>
    <w:basedOn w:val="70"/>
    <w:link w:val="303"/>
    <w:qFormat/>
    <w:uiPriority w:val="0"/>
    <w:rPr>
      <w:rFonts w:ascii="宋体" w:hAnsi="宋体" w:eastAsia="宋体" w:cs="Times New Roman"/>
      <w:sz w:val="24"/>
      <w:szCs w:val="24"/>
    </w:rPr>
  </w:style>
  <w:style w:type="table" w:customStyle="1" w:styleId="384">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table" w:customStyle="1" w:styleId="385">
    <w:name w:val="网格表 2 - 着色 12"/>
    <w:basedOn w:val="67"/>
    <w:qFormat/>
    <w:uiPriority w:val="47"/>
    <w:rPr>
      <w:rFonts w:ascii="Times New Roman" w:hAnsi="Times New Roman" w:eastAsia="宋体" w:cs="Times New Roman"/>
      <w:sz w:val="24"/>
    </w:rPr>
    <w:tblPr>
      <w:tblBorders>
        <w:top w:val="single" w:color="8EAADB" w:themeColor="accent1" w:themeTint="99" w:sz="2" w:space="0"/>
        <w:bottom w:val="single" w:color="8EAADB" w:themeColor="accent1" w:themeTint="99" w:sz="2" w:space="0"/>
        <w:insideH w:val="single" w:color="8EAADB" w:themeColor="accent1" w:themeTint="99" w:sz="2" w:space="0"/>
        <w:insideV w:val="single" w:color="8EAADB" w:themeColor="accent1" w:themeTint="99" w:sz="2" w:space="0"/>
      </w:tblBorders>
      <w:tblCellMar>
        <w:top w:w="0" w:type="dxa"/>
        <w:left w:w="108" w:type="dxa"/>
        <w:bottom w:w="0" w:type="dxa"/>
        <w:right w:w="108" w:type="dxa"/>
      </w:tblCellMar>
    </w:tblPr>
    <w:tblStylePr w:type="firstRow">
      <w:rPr>
        <w:b/>
        <w:bCs/>
      </w:rPr>
      <w:tcPr>
        <w:tcBorders>
          <w:top w:val="nil"/>
          <w:bottom w:val="single" w:color="8EAADB" w:themeColor="accent1" w:themeTint="99" w:sz="12" w:space="0"/>
          <w:insideH w:val="nil"/>
          <w:insideV w:val="nil"/>
        </w:tcBorders>
        <w:shd w:val="clear" w:color="auto" w:fill="FFFFFF" w:themeFill="background1"/>
      </w:tcPr>
    </w:tblStylePr>
    <w:tblStylePr w:type="lastRow">
      <w:rPr>
        <w:b/>
        <w:bCs/>
      </w:rPr>
      <w:tcPr>
        <w:tcBorders>
          <w:top w:val="double" w:color="8EAADB"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table" w:customStyle="1" w:styleId="386">
    <w:name w:val="网格表 6 彩色 - 着色 12"/>
    <w:basedOn w:val="67"/>
    <w:qFormat/>
    <w:uiPriority w:val="51"/>
    <w:rPr>
      <w:rFonts w:ascii="Times New Roman" w:hAnsi="Times New Roman" w:eastAsia="宋体" w:cs="Times New Roman"/>
      <w:color w:val="2F5597" w:themeColor="accent1" w:themeShade="BF"/>
      <w:sz w:val="24"/>
    </w:rPr>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CellMar>
        <w:top w:w="0" w:type="dxa"/>
        <w:left w:w="108" w:type="dxa"/>
        <w:bottom w:w="0" w:type="dxa"/>
        <w:right w:w="108" w:type="dxa"/>
      </w:tblCellMar>
    </w:tblPr>
    <w:tblStylePr w:type="firstRow">
      <w:rPr>
        <w:b/>
        <w:bCs/>
      </w:rPr>
      <w:tcPr>
        <w:tcBorders>
          <w:bottom w:val="single" w:color="8EAADB" w:themeColor="accent1" w:themeTint="99" w:sz="12" w:space="0"/>
        </w:tcBorders>
      </w:tcPr>
    </w:tblStylePr>
    <w:tblStylePr w:type="lastRow">
      <w:rPr>
        <w:b/>
        <w:bCs/>
      </w:rPr>
      <w:tcPr>
        <w:tcBorders>
          <w:top w:val="double" w:color="8EAADB" w:themeColor="accent1" w:themeTint="99"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paragraph" w:customStyle="1" w:styleId="387">
    <w:name w:val="正文A"/>
    <w:qFormat/>
    <w:uiPriority w:val="0"/>
    <w:pPr>
      <w:tabs>
        <w:tab w:val="left" w:pos="0"/>
      </w:tabs>
      <w:adjustRightInd w:val="0"/>
      <w:spacing w:before="120" w:line="360" w:lineRule="auto"/>
      <w:ind w:firstLine="488"/>
      <w:jc w:val="both"/>
    </w:pPr>
    <w:rPr>
      <w:rFonts w:ascii="Times New Roman" w:hAnsi="Times New Roman" w:eastAsia="宋体" w:cs="Times New Roman"/>
      <w:sz w:val="24"/>
      <w:lang w:val="en-US" w:eastAsia="zh-CN" w:bidi="ar-SA"/>
    </w:rPr>
  </w:style>
  <w:style w:type="paragraph" w:customStyle="1" w:styleId="388">
    <w:name w:val="图名A"/>
    <w:basedOn w:val="1"/>
    <w:qFormat/>
    <w:uiPriority w:val="0"/>
    <w:pPr>
      <w:tabs>
        <w:tab w:val="left" w:pos="0"/>
      </w:tabs>
      <w:adjustRightInd w:val="0"/>
      <w:snapToGrid w:val="0"/>
      <w:spacing w:before="20" w:beforeLines="20" w:after="80" w:afterLines="80" w:line="240" w:lineRule="auto"/>
      <w:ind w:firstLine="0" w:firstLineChars="0"/>
      <w:jc w:val="center"/>
    </w:pPr>
    <w:rPr>
      <w:rFonts w:eastAsia="宋体"/>
      <w:b/>
      <w:snapToGrid w:val="0"/>
      <w:kern w:val="0"/>
      <w:sz w:val="21"/>
    </w:rPr>
  </w:style>
  <w:style w:type="paragraph" w:customStyle="1" w:styleId="389">
    <w:name w:val="阳江 正文"/>
    <w:basedOn w:val="1"/>
    <w:qFormat/>
    <w:uiPriority w:val="0"/>
    <w:pPr>
      <w:widowControl w:val="0"/>
      <w:spacing w:afterLines="50" w:line="336" w:lineRule="auto"/>
      <w:ind w:firstLine="420" w:firstLineChars="0"/>
      <w:jc w:val="both"/>
    </w:pPr>
    <w:rPr>
      <w:rFonts w:eastAsiaTheme="minorEastAsia" w:cstheme="minorBidi"/>
      <w:sz w:val="24"/>
      <w:szCs w:val="24"/>
    </w:rPr>
  </w:style>
  <w:style w:type="paragraph" w:customStyle="1" w:styleId="390">
    <w:name w:val="阳江 图表标题"/>
    <w:basedOn w:val="1"/>
    <w:qFormat/>
    <w:uiPriority w:val="99"/>
    <w:pPr>
      <w:widowControl w:val="0"/>
      <w:spacing w:line="240" w:lineRule="auto"/>
      <w:ind w:firstLine="0" w:firstLineChars="0"/>
      <w:jc w:val="center"/>
    </w:pPr>
    <w:rPr>
      <w:rFonts w:eastAsiaTheme="minorEastAsia"/>
      <w:b/>
      <w:sz w:val="21"/>
      <w:szCs w:val="22"/>
    </w:rPr>
  </w:style>
  <w:style w:type="paragraph" w:customStyle="1" w:styleId="391">
    <w:name w:val="阳江 图表内容"/>
    <w:basedOn w:val="1"/>
    <w:qFormat/>
    <w:uiPriority w:val="99"/>
    <w:pPr>
      <w:spacing w:line="240" w:lineRule="auto"/>
      <w:ind w:firstLine="0" w:firstLineChars="0"/>
      <w:jc w:val="center"/>
    </w:pPr>
    <w:rPr>
      <w:rFonts w:eastAsiaTheme="minorEastAsia"/>
      <w:kern w:val="0"/>
      <w:sz w:val="21"/>
      <w:szCs w:val="21"/>
    </w:rPr>
  </w:style>
  <w:style w:type="paragraph" w:customStyle="1" w:styleId="392">
    <w:name w:val="阳江 资料来源"/>
    <w:basedOn w:val="389"/>
    <w:qFormat/>
    <w:uiPriority w:val="99"/>
    <w:rPr>
      <w:rFonts w:ascii="楷体_GB2312" w:eastAsia="楷体_GB2312"/>
      <w:sz w:val="21"/>
      <w:szCs w:val="21"/>
    </w:rPr>
  </w:style>
  <w:style w:type="paragraph" w:customStyle="1" w:styleId="393">
    <w:name w:val="主体文字"/>
    <w:basedOn w:val="1"/>
    <w:link w:val="394"/>
    <w:qFormat/>
    <w:uiPriority w:val="0"/>
    <w:pPr>
      <w:widowControl w:val="0"/>
      <w:spacing w:after="50" w:afterLines="50"/>
      <w:jc w:val="both"/>
    </w:pPr>
    <w:rPr>
      <w:rFonts w:ascii="宋体" w:hAnsi="宋体" w:eastAsia="宋体" w:cs="Courier New"/>
      <w:sz w:val="24"/>
      <w:szCs w:val="21"/>
    </w:rPr>
  </w:style>
  <w:style w:type="character" w:customStyle="1" w:styleId="394">
    <w:name w:val="主体文字 字符"/>
    <w:link w:val="393"/>
    <w:qFormat/>
    <w:uiPriority w:val="0"/>
    <w:rPr>
      <w:rFonts w:ascii="宋体" w:hAnsi="宋体" w:eastAsia="宋体" w:cs="Courier New"/>
      <w:sz w:val="24"/>
      <w:szCs w:val="21"/>
    </w:rPr>
  </w:style>
  <w:style w:type="character" w:customStyle="1" w:styleId="395">
    <w:name w:val="注释 字符"/>
    <w:link w:val="341"/>
    <w:qFormat/>
    <w:uiPriority w:val="0"/>
    <w:rPr>
      <w:rFonts w:ascii="Times New Roman" w:hAnsi="Times New Roman" w:eastAsia="宋体" w:cs="Arial"/>
      <w:color w:val="000000"/>
      <w:kern w:val="0"/>
      <w:sz w:val="18"/>
      <w:szCs w:val="16"/>
    </w:rPr>
  </w:style>
  <w:style w:type="character" w:customStyle="1" w:styleId="396">
    <w:name w:val="明显强调1"/>
    <w:qFormat/>
    <w:uiPriority w:val="21"/>
    <w:rPr>
      <w:i/>
      <w:iCs/>
      <w:color w:val="4472C4"/>
    </w:rPr>
  </w:style>
  <w:style w:type="paragraph" w:customStyle="1" w:styleId="397">
    <w:name w:val="Char Char Char Char Char Char Char Char Char1 Char Char Char Char"/>
    <w:basedOn w:val="1"/>
    <w:qFormat/>
    <w:uiPriority w:val="0"/>
    <w:pPr>
      <w:spacing w:after="160" w:line="240" w:lineRule="exact"/>
      <w:ind w:firstLine="0" w:firstLineChars="0"/>
    </w:pPr>
    <w:rPr>
      <w:rFonts w:ascii="Arial" w:hAnsi="Arial" w:eastAsia="Times New Roman" w:cs="Verdana"/>
      <w:b/>
      <w:kern w:val="0"/>
      <w:sz w:val="24"/>
      <w:szCs w:val="24"/>
      <w:lang w:eastAsia="en-US"/>
    </w:rPr>
  </w:style>
  <w:style w:type="paragraph" w:customStyle="1" w:styleId="398">
    <w:name w:val="中等深浅网格 21"/>
    <w:qFormat/>
    <w:uiPriority w:val="0"/>
    <w:pPr>
      <w:widowControl w:val="0"/>
      <w:jc w:val="both"/>
    </w:pPr>
    <w:rPr>
      <w:rFonts w:ascii="Calibri" w:hAnsi="Calibri" w:eastAsia="宋体" w:cs="Times New Roman"/>
      <w:sz w:val="24"/>
      <w:szCs w:val="24"/>
      <w:lang w:val="en-US" w:eastAsia="zh-CN" w:bidi="ar-SA"/>
    </w:rPr>
  </w:style>
  <w:style w:type="character" w:customStyle="1" w:styleId="399">
    <w:name w:val="正文（首行缩进两字） Char"/>
    <w:qFormat/>
    <w:uiPriority w:val="0"/>
    <w:rPr>
      <w:rFonts w:eastAsia="仿宋_GB2312"/>
      <w:kern w:val="2"/>
      <w:sz w:val="30"/>
      <w:lang w:val="en-US" w:eastAsia="zh-CN" w:bidi="ar-SA"/>
    </w:rPr>
  </w:style>
  <w:style w:type="character" w:customStyle="1" w:styleId="400">
    <w:name w:val="正文文本 (2)_"/>
    <w:basedOn w:val="70"/>
    <w:link w:val="401"/>
    <w:qFormat/>
    <w:uiPriority w:val="0"/>
    <w:rPr>
      <w:rFonts w:eastAsia="Times New Roman"/>
      <w:sz w:val="20"/>
      <w:shd w:val="clear" w:color="auto" w:fill="FFFFFF"/>
    </w:rPr>
  </w:style>
  <w:style w:type="paragraph" w:customStyle="1" w:styleId="401">
    <w:name w:val="正文文本 (2)"/>
    <w:basedOn w:val="1"/>
    <w:link w:val="400"/>
    <w:qFormat/>
    <w:uiPriority w:val="0"/>
    <w:pPr>
      <w:widowControl w:val="0"/>
      <w:shd w:val="clear" w:color="auto" w:fill="FFFFFF"/>
      <w:spacing w:line="240" w:lineRule="auto"/>
      <w:ind w:firstLine="0" w:firstLineChars="0"/>
    </w:pPr>
    <w:rPr>
      <w:rFonts w:eastAsia="Times New Roman" w:asciiTheme="minorHAnsi" w:hAnsiTheme="minorHAnsi" w:cstheme="minorBidi"/>
      <w:sz w:val="20"/>
      <w:szCs w:val="22"/>
    </w:rPr>
  </w:style>
  <w:style w:type="character" w:customStyle="1" w:styleId="402">
    <w:name w:val="正文文本 (2) + SimSun"/>
    <w:basedOn w:val="400"/>
    <w:qFormat/>
    <w:uiPriority w:val="0"/>
    <w:rPr>
      <w:rFonts w:ascii="宋体" w:hAnsi="宋体" w:eastAsia="宋体" w:cs="宋体"/>
      <w:color w:val="000000"/>
      <w:spacing w:val="0"/>
      <w:w w:val="100"/>
      <w:position w:val="0"/>
      <w:sz w:val="22"/>
      <w:szCs w:val="22"/>
      <w:shd w:val="clear" w:color="auto" w:fill="FFFFFF"/>
      <w:lang w:val="zh-TW" w:eastAsia="zh-TW" w:bidi="zh-TW"/>
    </w:rPr>
  </w:style>
  <w:style w:type="paragraph" w:customStyle="1" w:styleId="403">
    <w:name w:val="xl74"/>
    <w:basedOn w:val="1"/>
    <w:qFormat/>
    <w:uiPriority w:val="0"/>
    <w:pPr>
      <w:pBdr>
        <w:top w:val="single" w:color="auto" w:sz="4" w:space="0"/>
        <w:left w:val="single" w:color="auto"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04">
    <w:name w:val="xl75"/>
    <w:basedOn w:val="1"/>
    <w:qFormat/>
    <w:uiPriority w:val="0"/>
    <w:pPr>
      <w:pBdr>
        <w:top w:val="single" w:color="auto" w:sz="4" w:space="0"/>
        <w:right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05">
    <w:name w:val="xl76"/>
    <w:basedOn w:val="1"/>
    <w:qFormat/>
    <w:uiPriority w:val="0"/>
    <w:pPr>
      <w:pBdr>
        <w:left w:val="single" w:color="auto" w:sz="4" w:space="0"/>
        <w:bottom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06">
    <w:name w:val="xl77"/>
    <w:basedOn w:val="1"/>
    <w:qFormat/>
    <w:uiPriority w:val="0"/>
    <w:pPr>
      <w:pBdr>
        <w:bottom w:val="single" w:color="000000" w:sz="4" w:space="0"/>
        <w:right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07">
    <w:name w:val="xl78"/>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08">
    <w:name w:val="xl79"/>
    <w:basedOn w:val="1"/>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09">
    <w:name w:val="xl80"/>
    <w:basedOn w:val="1"/>
    <w:qFormat/>
    <w:uiPriority w:val="0"/>
    <w:pPr>
      <w:pBdr>
        <w:top w:val="single" w:color="000000" w:sz="4" w:space="0"/>
        <w:left w:val="single" w:color="auto" w:sz="4" w:space="0"/>
        <w:right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10">
    <w:name w:val="xl81"/>
    <w:basedOn w:val="1"/>
    <w:qFormat/>
    <w:uiPriority w:val="0"/>
    <w:pPr>
      <w:pBdr>
        <w:left w:val="single" w:color="auto" w:sz="4" w:space="0"/>
        <w:bottom w:val="single" w:color="000000" w:sz="4" w:space="0"/>
        <w:right w:val="single" w:color="000000" w:sz="4" w:space="0"/>
      </w:pBdr>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411">
    <w:name w:val="于都文本 表格标题首行"/>
    <w:basedOn w:val="1"/>
    <w:qFormat/>
    <w:uiPriority w:val="0"/>
    <w:pPr>
      <w:widowControl w:val="0"/>
      <w:spacing w:line="240" w:lineRule="auto"/>
      <w:ind w:firstLine="0" w:firstLineChars="0"/>
      <w:jc w:val="center"/>
    </w:pPr>
    <w:rPr>
      <w:rFonts w:eastAsia="宋体"/>
      <w:b/>
      <w:sz w:val="24"/>
      <w:szCs w:val="24"/>
    </w:rPr>
  </w:style>
  <w:style w:type="paragraph" w:customStyle="1" w:styleId="412">
    <w:name w:val="于都正文 表格内容"/>
    <w:basedOn w:val="1"/>
    <w:qFormat/>
    <w:uiPriority w:val="0"/>
    <w:pPr>
      <w:widowControl w:val="0"/>
      <w:spacing w:line="276" w:lineRule="auto"/>
      <w:ind w:firstLine="0" w:firstLineChars="0"/>
      <w:jc w:val="center"/>
    </w:pPr>
    <w:rPr>
      <w:rFonts w:eastAsia="宋体"/>
      <w:sz w:val="24"/>
      <w:szCs w:val="24"/>
    </w:rPr>
  </w:style>
  <w:style w:type="character" w:customStyle="1" w:styleId="413">
    <w:name w:val="正文-论文 字符"/>
    <w:basedOn w:val="70"/>
    <w:link w:val="6"/>
    <w:qFormat/>
    <w:uiPriority w:val="99"/>
    <w:rPr>
      <w:rFonts w:ascii="Times New Roman" w:hAnsi="Times New Roman" w:eastAsia="宋体" w:cs="Times New Roman"/>
      <w:color w:val="000000"/>
      <w:sz w:val="24"/>
      <w:szCs w:val="24"/>
    </w:rPr>
  </w:style>
  <w:style w:type="table" w:customStyle="1" w:styleId="414">
    <w:name w:val="Table Normal1"/>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415">
    <w:name w:val="Char1"/>
    <w:basedOn w:val="1"/>
    <w:qFormat/>
    <w:uiPriority w:val="0"/>
    <w:pPr>
      <w:spacing w:after="160" w:line="240" w:lineRule="exact"/>
      <w:ind w:firstLine="0" w:firstLineChars="0"/>
    </w:pPr>
    <w:rPr>
      <w:rFonts w:eastAsia="宋体"/>
      <w:sz w:val="21"/>
      <w:szCs w:val="24"/>
    </w:rPr>
  </w:style>
  <w:style w:type="table" w:customStyle="1" w:styleId="416">
    <w:name w:val="Table Normal2"/>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417">
    <w:name w:val="表格文字 Char"/>
    <w:link w:val="120"/>
    <w:qFormat/>
    <w:uiPriority w:val="0"/>
    <w:rPr>
      <w:rFonts w:ascii="Times New Roman" w:hAnsi="Times New Roman" w:eastAsia="宋体" w:cs="Times New Roman"/>
      <w:szCs w:val="24"/>
    </w:rPr>
  </w:style>
  <w:style w:type="table" w:customStyle="1" w:styleId="418">
    <w:name w:val="我的表格1"/>
    <w:basedOn w:val="67"/>
    <w:qFormat/>
    <w:uiPriority w:val="99"/>
    <w:tblPr>
      <w:tblBorders>
        <w:top w:val="single" w:color="auto" w:sz="4" w:space="0"/>
        <w:bottom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19">
    <w:name w:val="_Style 20"/>
    <w:basedOn w:val="1"/>
    <w:qFormat/>
    <w:uiPriority w:val="0"/>
    <w:pPr>
      <w:widowControl w:val="0"/>
      <w:spacing w:line="240" w:lineRule="auto"/>
      <w:ind w:firstLine="0" w:firstLineChars="0"/>
      <w:jc w:val="both"/>
    </w:pPr>
    <w:rPr>
      <w:rFonts w:eastAsia="宋体"/>
      <w:sz w:val="21"/>
      <w:szCs w:val="24"/>
    </w:rPr>
  </w:style>
  <w:style w:type="paragraph" w:customStyle="1" w:styleId="420">
    <w:name w:val="文字公式注释"/>
    <w:basedOn w:val="1"/>
    <w:qFormat/>
    <w:uiPriority w:val="0"/>
    <w:pPr>
      <w:spacing w:after="200" w:line="360" w:lineRule="auto"/>
      <w:ind w:left="400" w:leftChars="400" w:firstLine="0" w:firstLineChars="0"/>
    </w:pPr>
    <w:rPr>
      <w:rFonts w:ascii="Arial" w:hAnsi="Arial" w:eastAsia="宋体"/>
      <w:bCs/>
      <w:sz w:val="21"/>
      <w:szCs w:val="28"/>
    </w:rPr>
  </w:style>
  <w:style w:type="paragraph" w:customStyle="1" w:styleId="421">
    <w:name w:val="题5"/>
    <w:basedOn w:val="1"/>
    <w:link w:val="422"/>
    <w:qFormat/>
    <w:uiPriority w:val="0"/>
    <w:pPr>
      <w:spacing w:line="360" w:lineRule="auto"/>
      <w:ind w:firstLine="482" w:firstLineChars="0"/>
      <w:jc w:val="both"/>
      <w:outlineLvl w:val="4"/>
    </w:pPr>
    <w:rPr>
      <w:rFonts w:ascii="宋体" w:hAnsi="宋体" w:eastAsia="宋体" w:cs="黑体"/>
      <w:b/>
      <w:sz w:val="24"/>
      <w:szCs w:val="24"/>
    </w:rPr>
  </w:style>
  <w:style w:type="character" w:customStyle="1" w:styleId="422">
    <w:name w:val="题5 字符"/>
    <w:basedOn w:val="70"/>
    <w:link w:val="421"/>
    <w:qFormat/>
    <w:uiPriority w:val="0"/>
    <w:rPr>
      <w:rFonts w:ascii="宋体" w:hAnsi="宋体" w:eastAsia="宋体" w:cs="黑体"/>
      <w:b/>
      <w:sz w:val="24"/>
      <w:szCs w:val="24"/>
    </w:rPr>
  </w:style>
  <w:style w:type="character" w:customStyle="1" w:styleId="423">
    <w:name w:val="样式 段落 + (中文) 楷体_GB2312 小三 Char Char"/>
    <w:link w:val="424"/>
    <w:qFormat/>
    <w:uiPriority w:val="0"/>
    <w:rPr>
      <w:rFonts w:eastAsia="华文仿宋"/>
      <w:spacing w:val="6"/>
      <w:sz w:val="30"/>
      <w:szCs w:val="28"/>
    </w:rPr>
  </w:style>
  <w:style w:type="paragraph" w:customStyle="1" w:styleId="424">
    <w:name w:val="样式 段落 + (中文) 楷体_GB2312 小三"/>
    <w:basedOn w:val="1"/>
    <w:link w:val="423"/>
    <w:qFormat/>
    <w:uiPriority w:val="0"/>
    <w:pPr>
      <w:widowControl w:val="0"/>
      <w:spacing w:line="580" w:lineRule="exact"/>
      <w:jc w:val="both"/>
    </w:pPr>
    <w:rPr>
      <w:rFonts w:eastAsia="华文仿宋" w:asciiTheme="minorHAnsi" w:hAnsiTheme="minorHAnsi" w:cstheme="minorBidi"/>
      <w:spacing w:val="6"/>
      <w:sz w:val="30"/>
      <w:szCs w:val="28"/>
    </w:rPr>
  </w:style>
  <w:style w:type="paragraph" w:customStyle="1" w:styleId="425">
    <w:name w:val="段落"/>
    <w:basedOn w:val="1"/>
    <w:qFormat/>
    <w:uiPriority w:val="0"/>
    <w:pPr>
      <w:widowControl w:val="0"/>
      <w:spacing w:line="580" w:lineRule="exact"/>
      <w:jc w:val="both"/>
    </w:pPr>
    <w:rPr>
      <w:rFonts w:eastAsia="仿宋_GB2312"/>
      <w:spacing w:val="6"/>
      <w:sz w:val="32"/>
      <w:szCs w:val="28"/>
    </w:rPr>
  </w:style>
  <w:style w:type="character" w:customStyle="1" w:styleId="426">
    <w:name w:val="文字主体 Char Char"/>
    <w:qFormat/>
    <w:uiPriority w:val="0"/>
    <w:rPr>
      <w:rFonts w:ascii="宋体" w:hAnsi="宋体"/>
      <w:kern w:val="2"/>
      <w:sz w:val="28"/>
      <w:szCs w:val="28"/>
      <w:lang w:val="en-US" w:eastAsia="zh-CN" w:bidi="ar-SA"/>
    </w:rPr>
  </w:style>
  <w:style w:type="paragraph" w:customStyle="1" w:styleId="427">
    <w:name w:val="font2"/>
    <w:basedOn w:val="1"/>
    <w:qFormat/>
    <w:uiPriority w:val="0"/>
    <w:pPr>
      <w:spacing w:before="100" w:beforeAutospacing="1" w:after="100" w:afterAutospacing="1" w:line="240" w:lineRule="auto"/>
      <w:ind w:firstLine="0" w:firstLineChars="0"/>
    </w:pPr>
    <w:rPr>
      <w:rFonts w:ascii="Microsoft YaHei UI" w:hAnsi="Microsoft YaHei UI" w:eastAsia="Microsoft YaHei UI" w:cs="宋体"/>
      <w:color w:val="000000"/>
      <w:kern w:val="0"/>
      <w:sz w:val="24"/>
      <w:szCs w:val="24"/>
    </w:rPr>
  </w:style>
  <w:style w:type="paragraph" w:customStyle="1" w:styleId="428">
    <w:name w:val="font3"/>
    <w:basedOn w:val="1"/>
    <w:qFormat/>
    <w:uiPriority w:val="0"/>
    <w:pPr>
      <w:spacing w:before="100" w:beforeAutospacing="1" w:after="100" w:afterAutospacing="1" w:line="240" w:lineRule="auto"/>
      <w:ind w:firstLine="0" w:firstLineChars="0"/>
    </w:pPr>
    <w:rPr>
      <w:rFonts w:ascii="Microsoft YaHei UI" w:hAnsi="Microsoft YaHei UI" w:eastAsia="Microsoft YaHei UI" w:cs="宋体"/>
      <w:b/>
      <w:bCs/>
      <w:color w:val="333399"/>
      <w:kern w:val="0"/>
      <w:sz w:val="24"/>
      <w:szCs w:val="24"/>
    </w:rPr>
  </w:style>
  <w:style w:type="paragraph" w:customStyle="1" w:styleId="429">
    <w:name w:val="font6"/>
    <w:basedOn w:val="1"/>
    <w:qFormat/>
    <w:uiPriority w:val="0"/>
    <w:pPr>
      <w:spacing w:before="100" w:beforeAutospacing="1" w:after="100" w:afterAutospacing="1" w:line="240" w:lineRule="auto"/>
      <w:ind w:firstLine="0" w:firstLineChars="0"/>
    </w:pPr>
    <w:rPr>
      <w:rFonts w:ascii="仿宋_GB2312" w:hAnsi="宋体" w:eastAsia="仿宋_GB2312" w:cs="宋体"/>
      <w:color w:val="000000"/>
      <w:kern w:val="0"/>
      <w:sz w:val="24"/>
      <w:szCs w:val="24"/>
    </w:rPr>
  </w:style>
  <w:style w:type="paragraph" w:customStyle="1" w:styleId="430">
    <w:name w:val="font7"/>
    <w:basedOn w:val="1"/>
    <w:qFormat/>
    <w:uiPriority w:val="0"/>
    <w:pPr>
      <w:spacing w:before="100" w:beforeAutospacing="1" w:after="100" w:afterAutospacing="1" w:line="240" w:lineRule="auto"/>
      <w:ind w:firstLine="0" w:firstLineChars="0"/>
    </w:pPr>
    <w:rPr>
      <w:rFonts w:ascii="仿宋_GB2312" w:hAnsi="宋体" w:eastAsia="仿宋_GB2312" w:cs="宋体"/>
      <w:b/>
      <w:bCs/>
      <w:color w:val="333399"/>
      <w:kern w:val="0"/>
      <w:sz w:val="24"/>
      <w:szCs w:val="24"/>
    </w:rPr>
  </w:style>
  <w:style w:type="paragraph" w:customStyle="1" w:styleId="431">
    <w:name w:val="et2"/>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2">
    <w:name w:val="et3"/>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3">
    <w:name w:val="et4"/>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4">
    <w:name w:val="et5"/>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5">
    <w:name w:val="et6"/>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6">
    <w:name w:val="et7"/>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7">
    <w:name w:val="et8"/>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8">
    <w:name w:val="et9"/>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39">
    <w:name w:val="et10"/>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40">
    <w:name w:val="et11"/>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41">
    <w:name w:val="et12"/>
    <w:basedOn w:val="1"/>
    <w:qFormat/>
    <w:uiPriority w:val="0"/>
    <w:pPr>
      <w:spacing w:before="100" w:beforeAutospacing="1" w:after="100" w:afterAutospacing="1" w:line="240" w:lineRule="auto"/>
      <w:ind w:firstLine="0" w:firstLineChars="0"/>
      <w:textAlignment w:val="center"/>
    </w:pPr>
    <w:rPr>
      <w:rFonts w:ascii="仿宋_GB2312" w:hAnsi="宋体" w:eastAsia="仿宋_GB2312" w:cs="宋体"/>
      <w:color w:val="000000"/>
      <w:kern w:val="0"/>
      <w:sz w:val="24"/>
      <w:szCs w:val="24"/>
    </w:rPr>
  </w:style>
  <w:style w:type="paragraph" w:customStyle="1" w:styleId="442">
    <w:name w:val="et13"/>
    <w:basedOn w:val="1"/>
    <w:qFormat/>
    <w:uiPriority w:val="0"/>
    <w:pPr>
      <w:spacing w:before="100" w:beforeAutospacing="1" w:after="100" w:afterAutospacing="1" w:line="240" w:lineRule="auto"/>
      <w:ind w:firstLine="0" w:firstLineChars="0"/>
      <w:textAlignment w:val="center"/>
    </w:pPr>
    <w:rPr>
      <w:rFonts w:ascii="仿宋_GB2312" w:hAnsi="宋体" w:eastAsia="仿宋_GB2312" w:cs="宋体"/>
      <w:color w:val="000000"/>
      <w:kern w:val="0"/>
      <w:sz w:val="24"/>
      <w:szCs w:val="24"/>
    </w:rPr>
  </w:style>
  <w:style w:type="paragraph" w:customStyle="1" w:styleId="443">
    <w:name w:val="et14"/>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44">
    <w:name w:val="et15"/>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45">
    <w:name w:val="et16"/>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46">
    <w:name w:val="et17"/>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47">
    <w:name w:val="et18"/>
    <w:basedOn w:val="1"/>
    <w:qFormat/>
    <w:uiPriority w:val="0"/>
    <w:pPr>
      <w:spacing w:before="100" w:beforeAutospacing="1" w:after="100" w:afterAutospacing="1" w:line="240" w:lineRule="auto"/>
      <w:ind w:firstLine="0" w:firstLineChars="0"/>
      <w:textAlignment w:val="center"/>
    </w:pPr>
    <w:rPr>
      <w:rFonts w:ascii="仿宋_GB2312" w:hAnsi="宋体" w:eastAsia="仿宋_GB2312" w:cs="宋体"/>
      <w:color w:val="000000"/>
      <w:kern w:val="0"/>
      <w:sz w:val="24"/>
      <w:szCs w:val="24"/>
    </w:rPr>
  </w:style>
  <w:style w:type="paragraph" w:customStyle="1" w:styleId="448">
    <w:name w:val="et19"/>
    <w:basedOn w:val="1"/>
    <w:qFormat/>
    <w:uiPriority w:val="0"/>
    <w:pPr>
      <w:spacing w:before="100" w:beforeAutospacing="1" w:after="100" w:afterAutospacing="1" w:line="240" w:lineRule="auto"/>
      <w:ind w:firstLine="0" w:firstLineChars="0"/>
      <w:textAlignment w:val="center"/>
    </w:pPr>
    <w:rPr>
      <w:rFonts w:ascii="仿宋_GB2312" w:hAnsi="宋体" w:eastAsia="仿宋_GB2312" w:cs="宋体"/>
      <w:color w:val="000000"/>
      <w:kern w:val="0"/>
      <w:sz w:val="24"/>
      <w:szCs w:val="24"/>
    </w:rPr>
  </w:style>
  <w:style w:type="paragraph" w:customStyle="1" w:styleId="449">
    <w:name w:val="et20"/>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0">
    <w:name w:val="et21"/>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1">
    <w:name w:val="et22"/>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2">
    <w:name w:val="et23"/>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3">
    <w:name w:val="et24"/>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4">
    <w:name w:val="et25"/>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5">
    <w:name w:val="et26"/>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6">
    <w:name w:val="et27"/>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7">
    <w:name w:val="et28"/>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8">
    <w:name w:val="et29"/>
    <w:basedOn w:val="1"/>
    <w:qFormat/>
    <w:uiPriority w:val="0"/>
    <w:pPr>
      <w:spacing w:before="100" w:beforeAutospacing="1" w:after="100" w:afterAutospacing="1" w:line="240" w:lineRule="auto"/>
      <w:ind w:firstLine="0" w:firstLineChars="0"/>
      <w:textAlignment w:val="center"/>
    </w:pPr>
    <w:rPr>
      <w:rFonts w:ascii="宋体" w:hAnsi="宋体" w:eastAsia="宋体" w:cs="宋体"/>
      <w:color w:val="000000"/>
      <w:kern w:val="0"/>
      <w:sz w:val="24"/>
      <w:szCs w:val="24"/>
    </w:rPr>
  </w:style>
  <w:style w:type="paragraph" w:customStyle="1" w:styleId="459">
    <w:name w:val="et30"/>
    <w:basedOn w:val="1"/>
    <w:qFormat/>
    <w:uiPriority w:val="0"/>
    <w:pPr>
      <w:spacing w:before="100" w:beforeAutospacing="1" w:after="100" w:afterAutospacing="1" w:line="240" w:lineRule="auto"/>
      <w:ind w:firstLine="0" w:firstLineChars="0"/>
      <w:textAlignment w:val="center"/>
    </w:pPr>
    <w:rPr>
      <w:rFonts w:ascii="仿宋_GB2312" w:hAnsi="宋体" w:eastAsia="仿宋_GB2312" w:cs="宋体"/>
      <w:color w:val="000000"/>
      <w:kern w:val="0"/>
      <w:sz w:val="24"/>
      <w:szCs w:val="24"/>
    </w:rPr>
  </w:style>
  <w:style w:type="character" w:customStyle="1" w:styleId="460">
    <w:name w:val="font11"/>
    <w:basedOn w:val="70"/>
    <w:qFormat/>
    <w:uiPriority w:val="0"/>
    <w:rPr>
      <w:rFonts w:hint="eastAsia" w:ascii="仿宋_GB2312" w:eastAsia="仿宋_GB2312"/>
      <w:b/>
      <w:bCs/>
      <w:color w:val="305496"/>
      <w:sz w:val="24"/>
      <w:szCs w:val="24"/>
      <w:u w:val="none"/>
    </w:rPr>
  </w:style>
  <w:style w:type="character" w:customStyle="1" w:styleId="461">
    <w:name w:val="font31"/>
    <w:basedOn w:val="70"/>
    <w:qFormat/>
    <w:uiPriority w:val="0"/>
    <w:rPr>
      <w:rFonts w:hint="eastAsia" w:ascii="Microsoft YaHei UI" w:hAnsi="Microsoft YaHei UI" w:eastAsia="Microsoft YaHei UI"/>
      <w:b/>
      <w:bCs/>
      <w:color w:val="333399"/>
      <w:sz w:val="24"/>
      <w:szCs w:val="24"/>
      <w:u w:val="none"/>
    </w:rPr>
  </w:style>
  <w:style w:type="character" w:customStyle="1" w:styleId="462">
    <w:name w:val="font71"/>
    <w:basedOn w:val="70"/>
    <w:qFormat/>
    <w:uiPriority w:val="0"/>
    <w:rPr>
      <w:rFonts w:hint="eastAsia" w:ascii="仿宋_GB2312" w:eastAsia="仿宋_GB2312"/>
      <w:b/>
      <w:bCs/>
      <w:color w:val="333399"/>
      <w:sz w:val="24"/>
      <w:szCs w:val="24"/>
      <w:u w:val="none"/>
    </w:rPr>
  </w:style>
  <w:style w:type="character" w:customStyle="1" w:styleId="463">
    <w:name w:val="font51"/>
    <w:basedOn w:val="70"/>
    <w:qFormat/>
    <w:uiPriority w:val="0"/>
    <w:rPr>
      <w:rFonts w:hint="eastAsia" w:ascii="宋体" w:hAnsi="宋体" w:eastAsia="宋体"/>
      <w:color w:val="000000"/>
      <w:sz w:val="24"/>
      <w:szCs w:val="24"/>
      <w:u w:val="none"/>
    </w:rPr>
  </w:style>
  <w:style w:type="character" w:customStyle="1" w:styleId="464">
    <w:name w:val="font21"/>
    <w:basedOn w:val="70"/>
    <w:qFormat/>
    <w:uiPriority w:val="0"/>
    <w:rPr>
      <w:rFonts w:hint="eastAsia" w:ascii="Microsoft YaHei UI" w:hAnsi="Microsoft YaHei UI" w:eastAsia="Microsoft YaHei UI"/>
      <w:color w:val="000000"/>
      <w:sz w:val="24"/>
      <w:szCs w:val="24"/>
      <w:u w:val="none"/>
    </w:rPr>
  </w:style>
  <w:style w:type="character" w:customStyle="1" w:styleId="465">
    <w:name w:val="font61"/>
    <w:basedOn w:val="70"/>
    <w:qFormat/>
    <w:uiPriority w:val="0"/>
    <w:rPr>
      <w:rFonts w:hint="eastAsia" w:ascii="仿宋_GB2312" w:eastAsia="仿宋_GB2312"/>
      <w:color w:val="000000"/>
      <w:sz w:val="24"/>
      <w:szCs w:val="24"/>
      <w:u w:val="none"/>
    </w:rPr>
  </w:style>
  <w:style w:type="paragraph" w:customStyle="1" w:styleId="466">
    <w:name w:val="xl6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pPr>
    <w:rPr>
      <w:rFonts w:ascii="宋体" w:hAnsi="宋体" w:eastAsia="宋体" w:cs="宋体"/>
      <w:kern w:val="0"/>
      <w:sz w:val="24"/>
      <w:szCs w:val="24"/>
    </w:rPr>
  </w:style>
  <w:style w:type="paragraph" w:customStyle="1" w:styleId="467">
    <w:name w:val="xl6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pPr>
    <w:rPr>
      <w:rFonts w:ascii="宋体" w:hAnsi="宋体" w:eastAsia="宋体" w:cs="宋体"/>
      <w:kern w:val="0"/>
      <w:sz w:val="24"/>
      <w:szCs w:val="24"/>
    </w:rPr>
  </w:style>
  <w:style w:type="paragraph" w:customStyle="1" w:styleId="468">
    <w:name w:val="xl82"/>
    <w:basedOn w:val="1"/>
    <w:qFormat/>
    <w:uiPriority w:val="0"/>
    <w:pPr>
      <w:pBdr>
        <w:top w:val="single" w:color="auto" w:sz="8" w:space="0"/>
        <w:bottom w:val="single" w:color="auto" w:sz="8" w:space="0"/>
      </w:pBdr>
      <w:spacing w:before="100" w:beforeAutospacing="1" w:after="100" w:afterAutospacing="1" w:line="240" w:lineRule="auto"/>
      <w:ind w:firstLine="0" w:firstLineChars="0"/>
      <w:jc w:val="center"/>
    </w:pPr>
    <w:rPr>
      <w:rFonts w:ascii="宋体" w:hAnsi="宋体" w:eastAsia="宋体" w:cs="宋体"/>
      <w:b/>
      <w:bCs/>
      <w:color w:val="000000"/>
      <w:kern w:val="0"/>
      <w:sz w:val="24"/>
      <w:szCs w:val="24"/>
    </w:rPr>
  </w:style>
  <w:style w:type="paragraph" w:customStyle="1" w:styleId="469">
    <w:name w:val="xl83"/>
    <w:basedOn w:val="1"/>
    <w:qFormat/>
    <w:uiPriority w:val="0"/>
    <w:pPr>
      <w:pBdr>
        <w:top w:val="single" w:color="auto" w:sz="8" w:space="0"/>
        <w:bottom w:val="single" w:color="auto" w:sz="8" w:space="0"/>
        <w:right w:val="single" w:color="auto" w:sz="8" w:space="0"/>
      </w:pBdr>
      <w:spacing w:before="100" w:beforeAutospacing="1" w:after="100" w:afterAutospacing="1" w:line="240" w:lineRule="auto"/>
      <w:ind w:firstLine="0" w:firstLineChars="0"/>
      <w:jc w:val="center"/>
    </w:pPr>
    <w:rPr>
      <w:rFonts w:ascii="宋体" w:hAnsi="宋体" w:eastAsia="宋体" w:cs="宋体"/>
      <w:b/>
      <w:bCs/>
      <w:color w:val="000000"/>
      <w:kern w:val="0"/>
      <w:sz w:val="24"/>
      <w:szCs w:val="24"/>
    </w:rPr>
  </w:style>
  <w:style w:type="paragraph" w:customStyle="1" w:styleId="470">
    <w:name w:val="xl84"/>
    <w:basedOn w:val="1"/>
    <w:qFormat/>
    <w:uiPriority w:val="0"/>
    <w:pPr>
      <w:pBdr>
        <w:left w:val="double" w:color="auto" w:sz="6" w:space="0"/>
        <w:bottom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 w:type="paragraph" w:customStyle="1" w:styleId="471">
    <w:name w:val="xl85"/>
    <w:basedOn w:val="1"/>
    <w:qFormat/>
    <w:uiPriority w:val="0"/>
    <w:pPr>
      <w:pBdr>
        <w:right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 w:type="paragraph" w:customStyle="1" w:styleId="472">
    <w:name w:val="xl86"/>
    <w:basedOn w:val="1"/>
    <w:qFormat/>
    <w:uiPriority w:val="0"/>
    <w:pPr>
      <w:pBdr>
        <w:bottom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 w:type="paragraph" w:customStyle="1" w:styleId="473">
    <w:name w:val="xl87"/>
    <w:basedOn w:val="1"/>
    <w:qFormat/>
    <w:uiPriority w:val="0"/>
    <w:pPr>
      <w:pBdr>
        <w:left w:val="single" w:color="auto" w:sz="8" w:space="0"/>
        <w:bottom w:val="single" w:color="auto" w:sz="8" w:space="0"/>
        <w:right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 w:type="paragraph" w:customStyle="1" w:styleId="474">
    <w:name w:val="xl8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 w:type="paragraph" w:customStyle="1" w:styleId="475">
    <w:name w:val="xl89"/>
    <w:basedOn w:val="1"/>
    <w:qFormat/>
    <w:uiPriority w:val="0"/>
    <w:pPr>
      <w:pBdr>
        <w:left w:val="single" w:color="auto" w:sz="8" w:space="0"/>
        <w:right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 w:type="paragraph" w:customStyle="1" w:styleId="476">
    <w:name w:val="xl9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ind w:firstLine="0" w:firstLineChars="0"/>
      <w:jc w:val="center"/>
    </w:pPr>
    <w:rPr>
      <w:rFonts w:ascii="方正仿宋_GBK" w:hAnsi="宋体" w:eastAsia="方正仿宋_GBK" w:cs="宋体"/>
      <w:b/>
      <w:bCs/>
      <w:color w:val="000000"/>
      <w:kern w:val="0"/>
      <w:sz w:val="21"/>
      <w:szCs w:val="21"/>
    </w:rPr>
  </w:style>
  <w:style w:type="paragraph" w:customStyle="1" w:styleId="477">
    <w:name w:val="xl9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ind w:firstLine="0" w:firstLineChars="0"/>
      <w:jc w:val="center"/>
    </w:pPr>
    <w:rPr>
      <w:rFonts w:ascii="方正仿宋_GBK" w:hAnsi="宋体" w:eastAsia="方正仿宋_GBK" w:cs="宋体"/>
      <w:color w:val="000000"/>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jpeg"/><Relationship Id="rId24" Type="http://schemas.openxmlformats.org/officeDocument/2006/relationships/theme" Target="theme/theme1.xml"/><Relationship Id="rId23" Type="http://schemas.openxmlformats.org/officeDocument/2006/relationships/footer" Target="foot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gdyd</Company>
  <Pages>94</Pages>
  <Words>8330</Words>
  <Characters>47485</Characters>
  <Lines>395</Lines>
  <Paragraphs>111</Paragraphs>
  <TotalTime>171</TotalTime>
  <ScaleCrop>false</ScaleCrop>
  <LinksUpToDate>false</LinksUpToDate>
  <CharactersWithSpaces>55704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2024-04-16T22:53:00Z</dcterms:created>
  <dc:creator>AAB</dc:creator>
  <cp:lastModifiedBy>kylin</cp:lastModifiedBy>
  <cp:lastPrinted>2024-06-13T18:07:00Z</cp:lastPrinted>
  <dcterms:modified xsi:type="dcterms:W3CDTF">2025-08-22T10:54:45Z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6CB996ADA26444B7B9CA7AFD168BFC17_12</vt:lpwstr>
  </property>
</Properties>
</file>