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ascii="黑体" w:hAnsi="黑体" w:eastAsia="黑体" w:cs="Times New Roman"/>
          <w:sz w:val="30"/>
          <w:szCs w:val="30"/>
        </w:rPr>
      </w:pPr>
      <w:r>
        <w:rPr>
          <w:rFonts w:hint="eastAsia" w:ascii="黑体" w:hAnsi="黑体" w:eastAsia="黑体" w:cs="Times New Roman"/>
          <w:sz w:val="30"/>
          <w:szCs w:val="30"/>
        </w:rPr>
        <w:t>附件</w:t>
      </w:r>
    </w:p>
    <w:p>
      <w:pPr>
        <w:widowControl w:val="0"/>
        <w:jc w:val="both"/>
        <w:rPr>
          <w:rFonts w:ascii="Cambria" w:hAnsi="Cambria" w:eastAsia="宋体" w:cs="Times New Roman"/>
          <w:b/>
          <w:bCs/>
          <w:kern w:val="2"/>
          <w:sz w:val="21"/>
          <w:lang w:val="en-US" w:eastAsia="zh-CN" w:bidi="ar-SA"/>
        </w:rPr>
      </w:pPr>
    </w:p>
    <w:p>
      <w:pPr>
        <w:spacing w:line="500" w:lineRule="exact"/>
        <w:jc w:val="center"/>
        <w:rPr>
          <w:rFonts w:ascii="黑体" w:hAnsi="黑体" w:eastAsia="黑体" w:cs="Times New Roman"/>
          <w:sz w:val="30"/>
          <w:szCs w:val="30"/>
        </w:rPr>
      </w:pPr>
      <w:r>
        <w:rPr>
          <w:rFonts w:hint="eastAsia" w:ascii="方正小标宋简体" w:hAnsi="Times New Roman" w:eastAsia="方正小标宋简体" w:cs="Times New Roman"/>
          <w:sz w:val="44"/>
          <w:szCs w:val="44"/>
        </w:rPr>
        <w:t>2024年阳江市阳东区十件民生实事第一季度完成情况表</w:t>
      </w:r>
    </w:p>
    <w:p>
      <w:pPr>
        <w:spacing w:line="40" w:lineRule="exact"/>
        <w:rPr>
          <w:rFonts w:ascii="Times New Roman" w:hAnsi="Times New Roman" w:eastAsia="宋体" w:cs="Times New Roman"/>
          <w:szCs w:val="20"/>
        </w:rPr>
      </w:pPr>
    </w:p>
    <w:p>
      <w:pPr>
        <w:spacing w:line="40" w:lineRule="exact"/>
        <w:rPr>
          <w:rFonts w:ascii="Times New Roman" w:hAnsi="Times New Roman" w:eastAsia="宋体" w:cs="Times New Roman"/>
          <w:szCs w:val="20"/>
        </w:rPr>
      </w:pPr>
    </w:p>
    <w:tbl>
      <w:tblPr>
        <w:tblStyle w:val="2"/>
        <w:tblW w:w="158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2"/>
        <w:gridCol w:w="1001"/>
        <w:gridCol w:w="838"/>
        <w:gridCol w:w="1366"/>
        <w:gridCol w:w="2182"/>
        <w:gridCol w:w="2551"/>
        <w:gridCol w:w="793"/>
        <w:gridCol w:w="3436"/>
        <w:gridCol w:w="24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32" w:type="dxa"/>
            <w:shd w:val="clear" w:color="auto" w:fill="FFFFFF"/>
            <w:vAlign w:val="center"/>
          </w:tcPr>
          <w:p>
            <w:pPr>
              <w:autoSpaceDN w:val="0"/>
              <w:spacing w:line="300" w:lineRule="exact"/>
              <w:jc w:val="center"/>
              <w:textAlignment w:val="center"/>
              <w:rPr>
                <w:rFonts w:ascii="黑体" w:hAnsi="黑体" w:eastAsia="黑体" w:cs="Times New Roman"/>
                <w:sz w:val="24"/>
                <w:szCs w:val="24"/>
              </w:rPr>
            </w:pPr>
            <w:r>
              <w:rPr>
                <w:rFonts w:hint="eastAsia" w:ascii="黑体" w:hAnsi="黑体" w:eastAsia="黑体" w:cs="Times New Roman"/>
                <w:sz w:val="24"/>
                <w:szCs w:val="24"/>
              </w:rPr>
              <w:t>实事项目</w:t>
            </w:r>
          </w:p>
        </w:tc>
        <w:tc>
          <w:tcPr>
            <w:tcW w:w="1001" w:type="dxa"/>
            <w:shd w:val="clear" w:color="auto" w:fill="FFFFFF"/>
            <w:vAlign w:val="center"/>
          </w:tcPr>
          <w:p>
            <w:pPr>
              <w:autoSpaceDN w:val="0"/>
              <w:spacing w:line="300" w:lineRule="exact"/>
              <w:jc w:val="center"/>
              <w:textAlignment w:val="center"/>
              <w:rPr>
                <w:rFonts w:ascii="黑体" w:hAnsi="黑体" w:eastAsia="黑体" w:cs="Times New Roman"/>
                <w:sz w:val="24"/>
                <w:szCs w:val="24"/>
              </w:rPr>
            </w:pPr>
            <w:r>
              <w:rPr>
                <w:rFonts w:hint="eastAsia" w:ascii="黑体" w:hAnsi="黑体" w:eastAsia="黑体" w:cs="Times New Roman"/>
                <w:sz w:val="24"/>
                <w:szCs w:val="24"/>
              </w:rPr>
              <w:t>分管区领导</w:t>
            </w:r>
          </w:p>
        </w:tc>
        <w:tc>
          <w:tcPr>
            <w:tcW w:w="838" w:type="dxa"/>
            <w:shd w:val="clear" w:color="auto" w:fill="FFFFFF"/>
            <w:vAlign w:val="center"/>
          </w:tcPr>
          <w:p>
            <w:pPr>
              <w:autoSpaceDN w:val="0"/>
              <w:spacing w:line="300" w:lineRule="exact"/>
              <w:jc w:val="center"/>
              <w:textAlignment w:val="center"/>
              <w:rPr>
                <w:rFonts w:ascii="黑体" w:hAnsi="黑体" w:eastAsia="黑体" w:cs="Times New Roman"/>
                <w:sz w:val="24"/>
                <w:szCs w:val="24"/>
              </w:rPr>
            </w:pPr>
            <w:r>
              <w:rPr>
                <w:rFonts w:hint="eastAsia" w:ascii="黑体" w:hAnsi="黑体" w:eastAsia="黑体" w:cs="Times New Roman"/>
                <w:sz w:val="24"/>
                <w:szCs w:val="24"/>
              </w:rPr>
              <w:t>牵头单位</w:t>
            </w:r>
          </w:p>
        </w:tc>
        <w:tc>
          <w:tcPr>
            <w:tcW w:w="0" w:type="auto"/>
            <w:shd w:val="clear" w:color="auto" w:fill="FFFFFF"/>
            <w:vAlign w:val="center"/>
          </w:tcPr>
          <w:p>
            <w:pPr>
              <w:autoSpaceDN w:val="0"/>
              <w:spacing w:line="300" w:lineRule="exact"/>
              <w:jc w:val="center"/>
              <w:textAlignment w:val="center"/>
              <w:rPr>
                <w:rFonts w:ascii="黑体" w:hAnsi="黑体" w:eastAsia="黑体" w:cs="Times New Roman"/>
                <w:sz w:val="24"/>
                <w:szCs w:val="24"/>
              </w:rPr>
            </w:pPr>
            <w:r>
              <w:rPr>
                <w:rFonts w:hint="eastAsia" w:ascii="黑体" w:hAnsi="黑体" w:eastAsia="黑体" w:cs="Times New Roman"/>
                <w:sz w:val="24"/>
                <w:szCs w:val="24"/>
              </w:rPr>
              <w:t>配合单位</w:t>
            </w:r>
          </w:p>
        </w:tc>
        <w:tc>
          <w:tcPr>
            <w:tcW w:w="2182" w:type="dxa"/>
            <w:shd w:val="clear" w:color="auto" w:fill="FFFFFF"/>
            <w:vAlign w:val="center"/>
          </w:tcPr>
          <w:p>
            <w:pPr>
              <w:autoSpaceDN w:val="0"/>
              <w:spacing w:line="300" w:lineRule="exact"/>
              <w:jc w:val="center"/>
              <w:textAlignment w:val="center"/>
              <w:rPr>
                <w:rFonts w:ascii="黑体" w:hAnsi="黑体" w:eastAsia="黑体" w:cs="Times New Roman"/>
                <w:sz w:val="24"/>
                <w:szCs w:val="24"/>
              </w:rPr>
            </w:pPr>
            <w:r>
              <w:rPr>
                <w:rFonts w:hint="eastAsia" w:ascii="黑体" w:hAnsi="黑体" w:eastAsia="黑体" w:cs="Times New Roman"/>
                <w:sz w:val="24"/>
                <w:szCs w:val="24"/>
              </w:rPr>
              <w:t>工作任务</w:t>
            </w:r>
          </w:p>
        </w:tc>
        <w:tc>
          <w:tcPr>
            <w:tcW w:w="2551" w:type="dxa"/>
            <w:shd w:val="clear" w:color="auto" w:fill="FFFFFF"/>
            <w:vAlign w:val="center"/>
          </w:tcPr>
          <w:p>
            <w:pPr>
              <w:autoSpaceDN w:val="0"/>
              <w:spacing w:line="300" w:lineRule="exact"/>
              <w:jc w:val="center"/>
              <w:textAlignment w:val="center"/>
              <w:rPr>
                <w:rFonts w:ascii="黑体" w:hAnsi="黑体" w:eastAsia="黑体" w:cs="Times New Roman"/>
                <w:sz w:val="24"/>
                <w:szCs w:val="24"/>
              </w:rPr>
            </w:pPr>
            <w:r>
              <w:rPr>
                <w:rFonts w:hint="eastAsia" w:ascii="黑体" w:hAnsi="黑体" w:eastAsia="黑体" w:cs="Times New Roman"/>
                <w:sz w:val="24"/>
                <w:szCs w:val="24"/>
              </w:rPr>
              <w:t>工作进展情况</w:t>
            </w:r>
          </w:p>
        </w:tc>
        <w:tc>
          <w:tcPr>
            <w:tcW w:w="793" w:type="dxa"/>
            <w:shd w:val="clear" w:color="auto" w:fill="FFFFFF"/>
            <w:vAlign w:val="center"/>
          </w:tcPr>
          <w:p>
            <w:pPr>
              <w:autoSpaceDN w:val="0"/>
              <w:spacing w:line="300" w:lineRule="exact"/>
              <w:jc w:val="center"/>
              <w:textAlignment w:val="center"/>
              <w:rPr>
                <w:rFonts w:ascii="黑体" w:hAnsi="黑体" w:eastAsia="黑体" w:cs="Times New Roman"/>
                <w:sz w:val="24"/>
                <w:szCs w:val="24"/>
              </w:rPr>
            </w:pPr>
            <w:r>
              <w:rPr>
                <w:rFonts w:hint="eastAsia" w:ascii="黑体" w:hAnsi="黑体" w:eastAsia="黑体" w:cs="Times New Roman"/>
                <w:sz w:val="24"/>
                <w:szCs w:val="24"/>
              </w:rPr>
              <w:t>完成</w:t>
            </w:r>
          </w:p>
          <w:p>
            <w:pPr>
              <w:autoSpaceDN w:val="0"/>
              <w:spacing w:line="300" w:lineRule="exact"/>
              <w:jc w:val="center"/>
              <w:textAlignment w:val="center"/>
              <w:rPr>
                <w:rFonts w:ascii="黑体" w:hAnsi="黑体" w:eastAsia="黑体" w:cs="Times New Roman"/>
                <w:sz w:val="24"/>
                <w:szCs w:val="24"/>
              </w:rPr>
            </w:pPr>
            <w:r>
              <w:rPr>
                <w:rFonts w:hint="eastAsia" w:ascii="黑体" w:hAnsi="黑体" w:eastAsia="黑体" w:cs="Times New Roman"/>
                <w:sz w:val="24"/>
                <w:szCs w:val="24"/>
              </w:rPr>
              <w:t>情况</w:t>
            </w:r>
          </w:p>
        </w:tc>
        <w:tc>
          <w:tcPr>
            <w:tcW w:w="3436" w:type="dxa"/>
            <w:shd w:val="clear" w:color="auto" w:fill="FFFFFF"/>
            <w:vAlign w:val="center"/>
          </w:tcPr>
          <w:p>
            <w:pPr>
              <w:autoSpaceDN w:val="0"/>
              <w:spacing w:line="300" w:lineRule="exact"/>
              <w:jc w:val="center"/>
              <w:textAlignment w:val="center"/>
              <w:rPr>
                <w:rFonts w:ascii="黑体" w:hAnsi="黑体" w:eastAsia="黑体" w:cs="Times New Roman"/>
                <w:sz w:val="24"/>
                <w:szCs w:val="24"/>
              </w:rPr>
            </w:pPr>
            <w:r>
              <w:rPr>
                <w:rFonts w:hint="eastAsia" w:ascii="黑体" w:hAnsi="黑体" w:eastAsia="黑体" w:cs="Times New Roman"/>
                <w:sz w:val="24"/>
                <w:szCs w:val="24"/>
              </w:rPr>
              <w:t>存在问题</w:t>
            </w:r>
          </w:p>
        </w:tc>
        <w:tc>
          <w:tcPr>
            <w:tcW w:w="2433" w:type="dxa"/>
            <w:shd w:val="clear" w:color="auto" w:fill="FFFFFF"/>
            <w:vAlign w:val="center"/>
          </w:tcPr>
          <w:p>
            <w:pPr>
              <w:autoSpaceDN w:val="0"/>
              <w:spacing w:line="300" w:lineRule="exact"/>
              <w:jc w:val="center"/>
              <w:textAlignment w:val="center"/>
              <w:rPr>
                <w:rFonts w:ascii="黑体" w:hAnsi="黑体" w:eastAsia="黑体" w:cs="Times New Roman"/>
                <w:sz w:val="24"/>
                <w:szCs w:val="24"/>
              </w:rPr>
            </w:pPr>
            <w:r>
              <w:rPr>
                <w:rFonts w:hint="eastAsia" w:ascii="黑体" w:hAnsi="黑体" w:eastAsia="黑体" w:cs="Times New Roman"/>
                <w:sz w:val="24"/>
                <w:szCs w:val="24"/>
              </w:rPr>
              <w:t>下步计划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3" w:hRule="atLeast"/>
          <w:jc w:val="center"/>
        </w:trPr>
        <w:tc>
          <w:tcPr>
            <w:tcW w:w="1232" w:type="dxa"/>
            <w:vMerge w:val="restart"/>
            <w:shd w:val="clear" w:color="auto" w:fill="FFFFFF"/>
            <w:vAlign w:val="center"/>
          </w:tcPr>
          <w:p>
            <w:pPr>
              <w:autoSpaceDN w:val="0"/>
              <w:spacing w:line="300" w:lineRule="exact"/>
              <w:textAlignment w:val="center"/>
              <w:rPr>
                <w:rFonts w:ascii="Times New Roman" w:hAnsi="Times New Roman" w:eastAsia="方正仿宋简体" w:cs="Times New Roman"/>
                <w:b/>
                <w:sz w:val="24"/>
                <w:szCs w:val="24"/>
              </w:rPr>
            </w:pPr>
            <w:r>
              <w:rPr>
                <w:rFonts w:ascii="Times New Roman" w:hAnsi="Times New Roman" w:eastAsia="方正仿宋简体" w:cs="Times New Roman"/>
                <w:b/>
                <w:sz w:val="24"/>
                <w:szCs w:val="24"/>
              </w:rPr>
              <w:t>一、提升医养服务水平</w:t>
            </w:r>
          </w:p>
        </w:tc>
        <w:tc>
          <w:tcPr>
            <w:tcW w:w="1001" w:type="dxa"/>
            <w:vMerge w:val="restart"/>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李南轼</w:t>
            </w:r>
          </w:p>
        </w:tc>
        <w:tc>
          <w:tcPr>
            <w:tcW w:w="838" w:type="dxa"/>
            <w:shd w:val="clear" w:color="auto" w:fill="FFFFFF"/>
            <w:vAlign w:val="center"/>
          </w:tcPr>
          <w:p>
            <w:pPr>
              <w:adjustRightInd w:val="0"/>
              <w:snapToGrid w:val="0"/>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区卫生健康局</w:t>
            </w:r>
          </w:p>
        </w:tc>
        <w:tc>
          <w:tcPr>
            <w:tcW w:w="0" w:type="auto"/>
            <w:shd w:val="clear" w:color="auto" w:fill="FFFFFF"/>
            <w:vAlign w:val="center"/>
          </w:tcPr>
          <w:p>
            <w:pPr>
              <w:adjustRightInd w:val="0"/>
              <w:snapToGrid w:val="0"/>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红丰镇政府</w:t>
            </w:r>
          </w:p>
        </w:tc>
        <w:tc>
          <w:tcPr>
            <w:tcW w:w="2182" w:type="dxa"/>
            <w:shd w:val="clear" w:color="auto" w:fill="FFFFFF"/>
            <w:vAlign w:val="center"/>
          </w:tcPr>
          <w:p>
            <w:pPr>
              <w:autoSpaceDN w:val="0"/>
              <w:spacing w:line="300" w:lineRule="exac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1.在红丰镇卫生院建设区第一家公立医院医养结合服务中心。</w:t>
            </w:r>
          </w:p>
        </w:tc>
        <w:tc>
          <w:tcPr>
            <w:tcW w:w="2551"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bCs/>
                <w:sz w:val="24"/>
                <w:szCs w:val="24"/>
              </w:rPr>
              <w:t>建设已完成，新增养老护理型床位27张。</w:t>
            </w:r>
          </w:p>
        </w:tc>
        <w:tc>
          <w:tcPr>
            <w:tcW w:w="793" w:type="dxa"/>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80%</w:t>
            </w:r>
          </w:p>
        </w:tc>
        <w:tc>
          <w:tcPr>
            <w:tcW w:w="3436" w:type="dxa"/>
            <w:shd w:val="clear" w:color="auto" w:fill="FFFFFF"/>
            <w:vAlign w:val="center"/>
          </w:tcPr>
          <w:p>
            <w:pPr>
              <w:widowControl/>
              <w:spacing w:line="300" w:lineRule="exact"/>
              <w:rPr>
                <w:rFonts w:ascii="Times New Roman" w:hAnsi="Times New Roman" w:eastAsia="方正仿宋简体" w:cs="Times New Roman"/>
                <w:sz w:val="24"/>
                <w:szCs w:val="24"/>
              </w:rPr>
            </w:pPr>
            <w:r>
              <w:rPr>
                <w:rFonts w:ascii="Times New Roman" w:hAnsi="Times New Roman" w:eastAsia="方正仿宋简体" w:cs="Times New Roman"/>
                <w:sz w:val="24"/>
                <w:szCs w:val="24"/>
              </w:rPr>
              <w:t>（1）红丰镇卫生院设置住院病床40张，核定编制数为52名，未达到应设编制数。编外人员数额大，人员流动性大。</w:t>
            </w:r>
          </w:p>
          <w:p>
            <w:pPr>
              <w:widowControl/>
              <w:spacing w:line="300" w:lineRule="exact"/>
              <w:rPr>
                <w:rFonts w:ascii="Times New Roman" w:hAnsi="Times New Roman" w:eastAsia="方正仿宋简体" w:cs="Times New Roman"/>
                <w:sz w:val="24"/>
                <w:szCs w:val="24"/>
              </w:rPr>
            </w:pPr>
            <w:r>
              <w:rPr>
                <w:rFonts w:ascii="Times New Roman" w:hAnsi="Times New Roman" w:eastAsia="方正仿宋简体" w:cs="Times New Roman"/>
                <w:sz w:val="24"/>
                <w:szCs w:val="24"/>
              </w:rPr>
              <w:t>（2）现有民政部门五保户补贴政策与医养结合实际收费差额大，如收住辖区五保户，极可能产生负收入。</w:t>
            </w:r>
          </w:p>
        </w:tc>
        <w:tc>
          <w:tcPr>
            <w:tcW w:w="2433" w:type="dxa"/>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准备开业。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5" w:hRule="atLeast"/>
          <w:jc w:val="center"/>
        </w:trPr>
        <w:tc>
          <w:tcPr>
            <w:tcW w:w="1232" w:type="dxa"/>
            <w:vMerge w:val="continue"/>
            <w:shd w:val="clear" w:color="auto" w:fill="FFFFFF"/>
            <w:vAlign w:val="center"/>
          </w:tcPr>
          <w:p>
            <w:pPr>
              <w:autoSpaceDN w:val="0"/>
              <w:spacing w:line="300" w:lineRule="exact"/>
              <w:textAlignment w:val="center"/>
              <w:rPr>
                <w:rFonts w:ascii="Times New Roman" w:hAnsi="Times New Roman" w:eastAsia="方正仿宋简体" w:cs="Times New Roman"/>
                <w:b/>
                <w:sz w:val="24"/>
                <w:szCs w:val="24"/>
              </w:rPr>
            </w:pPr>
          </w:p>
        </w:tc>
        <w:tc>
          <w:tcPr>
            <w:tcW w:w="1001" w:type="dxa"/>
            <w:vMerge w:val="continue"/>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p>
        </w:tc>
        <w:tc>
          <w:tcPr>
            <w:tcW w:w="838" w:type="dxa"/>
            <w:vMerge w:val="restart"/>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区民政局、区残联</w:t>
            </w:r>
          </w:p>
        </w:tc>
        <w:tc>
          <w:tcPr>
            <w:tcW w:w="0" w:type="auto"/>
            <w:vMerge w:val="restart"/>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各镇政府</w:t>
            </w:r>
          </w:p>
        </w:tc>
        <w:tc>
          <w:tcPr>
            <w:tcW w:w="2182" w:type="dxa"/>
            <w:vMerge w:val="restart"/>
            <w:shd w:val="clear" w:color="auto" w:fill="FFFFFF"/>
            <w:vAlign w:val="center"/>
          </w:tcPr>
          <w:p>
            <w:pPr>
              <w:autoSpaceDN w:val="0"/>
              <w:spacing w:line="300" w:lineRule="exac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2.做好我区分散供养特困老人、建档立卡贫困高龄和失能人员、困难重度残疾人家庭适老化改造和无障碍改造，其中适老化改造完成200户，无障碍改造完成100户。</w:t>
            </w:r>
          </w:p>
        </w:tc>
        <w:tc>
          <w:tcPr>
            <w:tcW w:w="2551" w:type="dxa"/>
            <w:shd w:val="clear" w:color="auto" w:fill="FFFFFF"/>
            <w:vAlign w:val="center"/>
          </w:tcPr>
          <w:p>
            <w:pPr>
              <w:spacing w:line="300" w:lineRule="exact"/>
              <w:rPr>
                <w:rFonts w:ascii="Times New Roman" w:hAnsi="Times New Roman" w:eastAsia="方正仿宋简体" w:cs="Times New Roman"/>
                <w:sz w:val="24"/>
                <w:szCs w:val="24"/>
              </w:rPr>
            </w:pPr>
            <w:r>
              <w:rPr>
                <w:rFonts w:ascii="Times New Roman" w:hAnsi="Times New Roman" w:eastAsia="方正仿宋简体" w:cs="Times New Roman"/>
                <w:bCs/>
                <w:sz w:val="24"/>
                <w:szCs w:val="24"/>
              </w:rPr>
              <w:t>正在核查符合适老化改造条件对象信息，已收集改造对象资料100户。</w:t>
            </w:r>
          </w:p>
        </w:tc>
        <w:tc>
          <w:tcPr>
            <w:tcW w:w="793" w:type="dxa"/>
            <w:shd w:val="clear" w:color="auto" w:fill="FFFFFF"/>
            <w:vAlign w:val="center"/>
          </w:tcPr>
          <w:p>
            <w:pPr>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bCs/>
                <w:sz w:val="24"/>
                <w:szCs w:val="24"/>
              </w:rPr>
              <w:t>20%</w:t>
            </w:r>
          </w:p>
        </w:tc>
        <w:tc>
          <w:tcPr>
            <w:tcW w:w="3436" w:type="dxa"/>
            <w:shd w:val="clear" w:color="auto" w:fill="FFFFFF"/>
            <w:vAlign w:val="center"/>
          </w:tcPr>
          <w:p>
            <w:pPr>
              <w:autoSpaceDN w:val="0"/>
              <w:spacing w:line="300" w:lineRule="exac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由于改造对象多数散居在村，需要大量的人力入户调查、核实，造成核查收集情况进度较慢。</w:t>
            </w:r>
          </w:p>
        </w:tc>
        <w:tc>
          <w:tcPr>
            <w:tcW w:w="2433" w:type="dxa"/>
            <w:shd w:val="clear" w:color="auto" w:fill="FFFFFF"/>
            <w:vAlign w:val="center"/>
          </w:tcPr>
          <w:p>
            <w:pPr>
              <w:autoSpaceDN w:val="0"/>
              <w:spacing w:line="300" w:lineRule="exact"/>
              <w:textAlignment w:val="center"/>
              <w:rPr>
                <w:rFonts w:ascii="Times New Roman" w:hAnsi="Times New Roman" w:eastAsia="方正仿宋简体" w:cs="Times New Roman"/>
                <w:sz w:val="24"/>
                <w:szCs w:val="24"/>
              </w:rPr>
            </w:pPr>
            <w:r>
              <w:rPr>
                <w:rFonts w:ascii="Times New Roman" w:hAnsi="Times New Roman" w:eastAsia="方正仿宋简体" w:cs="Times New Roman"/>
                <w:color w:val="000000"/>
                <w:sz w:val="24"/>
                <w:szCs w:val="24"/>
              </w:rPr>
              <w:t>确定改造名单后，加快项目招标进度，力争在10月底完成改造任务。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5" w:hRule="atLeast"/>
          <w:jc w:val="center"/>
        </w:trPr>
        <w:tc>
          <w:tcPr>
            <w:tcW w:w="1232" w:type="dxa"/>
            <w:vMerge w:val="continue"/>
            <w:shd w:val="clear" w:color="auto" w:fill="FFFFFF"/>
            <w:vAlign w:val="center"/>
          </w:tcPr>
          <w:p>
            <w:pPr>
              <w:spacing w:line="300" w:lineRule="exact"/>
              <w:rPr>
                <w:rFonts w:ascii="Times New Roman" w:hAnsi="Times New Roman" w:eastAsia="方正仿宋简体" w:cs="Times New Roman"/>
                <w:sz w:val="24"/>
                <w:szCs w:val="24"/>
              </w:rPr>
            </w:pPr>
          </w:p>
        </w:tc>
        <w:tc>
          <w:tcPr>
            <w:tcW w:w="1001" w:type="dxa"/>
            <w:vMerge w:val="continue"/>
            <w:shd w:val="clear" w:color="auto" w:fill="FFFFFF"/>
            <w:vAlign w:val="center"/>
          </w:tcPr>
          <w:p>
            <w:pPr>
              <w:spacing w:line="300" w:lineRule="exact"/>
              <w:rPr>
                <w:rFonts w:ascii="Times New Roman" w:hAnsi="Times New Roman" w:eastAsia="方正仿宋简体" w:cs="Times New Roman"/>
                <w:sz w:val="24"/>
                <w:szCs w:val="24"/>
              </w:rPr>
            </w:pPr>
          </w:p>
        </w:tc>
        <w:tc>
          <w:tcPr>
            <w:tcW w:w="838" w:type="dxa"/>
            <w:vMerge w:val="continue"/>
            <w:shd w:val="clear" w:color="auto" w:fill="FFFFFF"/>
            <w:vAlign w:val="center"/>
          </w:tcPr>
          <w:p>
            <w:pPr>
              <w:spacing w:line="300" w:lineRule="exact"/>
              <w:rPr>
                <w:rFonts w:ascii="Times New Roman" w:hAnsi="Times New Roman" w:eastAsia="方正仿宋简体" w:cs="Times New Roman"/>
                <w:sz w:val="24"/>
                <w:szCs w:val="24"/>
              </w:rPr>
            </w:pPr>
          </w:p>
        </w:tc>
        <w:tc>
          <w:tcPr>
            <w:tcW w:w="0" w:type="auto"/>
            <w:vMerge w:val="continue"/>
            <w:shd w:val="clear" w:color="auto" w:fill="FFFFFF"/>
            <w:vAlign w:val="center"/>
          </w:tcPr>
          <w:p>
            <w:pPr>
              <w:spacing w:line="300" w:lineRule="exact"/>
              <w:rPr>
                <w:rFonts w:ascii="Times New Roman" w:hAnsi="Times New Roman" w:eastAsia="方正仿宋简体" w:cs="Times New Roman"/>
                <w:sz w:val="24"/>
                <w:szCs w:val="24"/>
              </w:rPr>
            </w:pPr>
          </w:p>
        </w:tc>
        <w:tc>
          <w:tcPr>
            <w:tcW w:w="2182" w:type="dxa"/>
            <w:vMerge w:val="continue"/>
            <w:shd w:val="clear" w:color="auto" w:fill="FFFFFF"/>
            <w:vAlign w:val="center"/>
          </w:tcPr>
          <w:p>
            <w:pPr>
              <w:spacing w:line="300" w:lineRule="exact"/>
              <w:rPr>
                <w:rFonts w:ascii="Times New Roman" w:hAnsi="Times New Roman" w:eastAsia="方正仿宋简体" w:cs="Times New Roman"/>
                <w:sz w:val="24"/>
                <w:szCs w:val="24"/>
              </w:rPr>
            </w:pPr>
          </w:p>
        </w:tc>
        <w:tc>
          <w:tcPr>
            <w:tcW w:w="2551" w:type="dxa"/>
            <w:shd w:val="clear" w:color="auto" w:fill="FFFFFF"/>
            <w:vAlign w:val="center"/>
          </w:tcPr>
          <w:p>
            <w:pPr>
              <w:spacing w:line="300" w:lineRule="exact"/>
              <w:rPr>
                <w:rFonts w:ascii="Times New Roman" w:hAnsi="Times New Roman" w:eastAsia="方正仿宋简体" w:cs="Times New Roman"/>
                <w:sz w:val="24"/>
                <w:szCs w:val="24"/>
              </w:rPr>
            </w:pPr>
            <w:r>
              <w:rPr>
                <w:rFonts w:ascii="Times New Roman" w:hAnsi="Times New Roman" w:eastAsia="方正仿宋简体" w:cs="Times New Roman"/>
                <w:bCs/>
                <w:sz w:val="24"/>
                <w:szCs w:val="24"/>
              </w:rPr>
              <w:t>已在各镇开展困难重度残疾人摸底筛查工作，已上报93户至区残联。</w:t>
            </w:r>
          </w:p>
        </w:tc>
        <w:tc>
          <w:tcPr>
            <w:tcW w:w="793" w:type="dxa"/>
            <w:shd w:val="clear" w:color="auto" w:fill="FFFFFF"/>
            <w:vAlign w:val="center"/>
          </w:tcPr>
          <w:p>
            <w:pPr>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bCs/>
                <w:sz w:val="24"/>
                <w:szCs w:val="24"/>
              </w:rPr>
              <w:t>5%</w:t>
            </w:r>
          </w:p>
        </w:tc>
        <w:tc>
          <w:tcPr>
            <w:tcW w:w="3436" w:type="dxa"/>
            <w:shd w:val="clear" w:color="auto" w:fill="FFFFFF"/>
            <w:vAlign w:val="center"/>
          </w:tcPr>
          <w:p>
            <w:pPr>
              <w:autoSpaceDN w:val="0"/>
              <w:spacing w:line="300" w:lineRule="exac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个别镇工作滞后，影响后期工作推进。</w:t>
            </w:r>
          </w:p>
        </w:tc>
        <w:tc>
          <w:tcPr>
            <w:tcW w:w="2433"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（1）计划4月中旬前完成筛查任务，5月底前完成各镇上报对象核查工作。</w:t>
            </w:r>
          </w:p>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（2）计划在4月底前确定设计公司，并在5月逐步对确定改造对象开展入户一户一方案设计工作。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0" w:hRule="atLeast"/>
          <w:jc w:val="center"/>
        </w:trPr>
        <w:tc>
          <w:tcPr>
            <w:tcW w:w="1232" w:type="dxa"/>
            <w:shd w:val="clear" w:color="auto" w:fill="FFFFFF"/>
            <w:vAlign w:val="center"/>
          </w:tcPr>
          <w:p>
            <w:pPr>
              <w:autoSpaceDN w:val="0"/>
              <w:spacing w:line="300" w:lineRule="exact"/>
              <w:textAlignment w:val="center"/>
              <w:rPr>
                <w:rFonts w:ascii="Times New Roman" w:hAnsi="Times New Roman" w:eastAsia="方正仿宋简体" w:cs="Times New Roman"/>
                <w:b/>
                <w:sz w:val="24"/>
                <w:szCs w:val="24"/>
              </w:rPr>
            </w:pPr>
            <w:r>
              <w:rPr>
                <w:rFonts w:ascii="Times New Roman" w:hAnsi="Times New Roman" w:eastAsia="方正仿宋简体" w:cs="Times New Roman"/>
                <w:b/>
                <w:sz w:val="24"/>
                <w:szCs w:val="24"/>
              </w:rPr>
              <w:t>二、提升基础教育发展水平</w:t>
            </w:r>
          </w:p>
        </w:tc>
        <w:tc>
          <w:tcPr>
            <w:tcW w:w="1001" w:type="dxa"/>
            <w:shd w:val="clear" w:color="auto" w:fill="FFFFFF"/>
            <w:vAlign w:val="center"/>
          </w:tcPr>
          <w:p>
            <w:pPr>
              <w:adjustRightInd w:val="0"/>
              <w:snapToGrid w:val="0"/>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李南轼</w:t>
            </w:r>
          </w:p>
        </w:tc>
        <w:tc>
          <w:tcPr>
            <w:tcW w:w="838" w:type="dxa"/>
            <w:shd w:val="clear" w:color="auto" w:fill="FFFFFF"/>
            <w:vAlign w:val="center"/>
          </w:tcPr>
          <w:p>
            <w:pPr>
              <w:adjustRightInd w:val="0"/>
              <w:snapToGrid w:val="0"/>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区教育局</w:t>
            </w:r>
          </w:p>
        </w:tc>
        <w:tc>
          <w:tcPr>
            <w:tcW w:w="0" w:type="auto"/>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区发展改革局、区财政局、市自然资源局阳东分局、区住房和城乡建设局、区土储中心、北惯镇政府</w:t>
            </w:r>
          </w:p>
        </w:tc>
        <w:tc>
          <w:tcPr>
            <w:tcW w:w="2182"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3.动工迁建北惯镇中心幼儿园，建成后可增加公办学前教育学位360个。</w:t>
            </w:r>
          </w:p>
        </w:tc>
        <w:tc>
          <w:tcPr>
            <w:tcW w:w="2551"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bCs/>
                <w:sz w:val="24"/>
                <w:szCs w:val="24"/>
              </w:rPr>
              <w:t>项目用地捐赠手续已办好，正在办理用地资料组卷工作。土地已平整，控规已调整完毕，省己批复土地建设规模调整方案，待省调整数据库后再进行报批工作。工程设计方案已做好初稿。土地组卷的社稳方案正在修改完善。征地方案在公示中。</w:t>
            </w:r>
          </w:p>
        </w:tc>
        <w:tc>
          <w:tcPr>
            <w:tcW w:w="793" w:type="dxa"/>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15%</w:t>
            </w:r>
          </w:p>
        </w:tc>
        <w:tc>
          <w:tcPr>
            <w:tcW w:w="3436"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用地手续未办好，建设资金未到位。</w:t>
            </w:r>
          </w:p>
        </w:tc>
        <w:tc>
          <w:tcPr>
            <w:tcW w:w="2433" w:type="dxa"/>
            <w:shd w:val="clear" w:color="auto" w:fill="FFFFFF"/>
            <w:vAlign w:val="center"/>
          </w:tcPr>
          <w:p>
            <w:pPr>
              <w:autoSpaceDN w:val="0"/>
              <w:spacing w:line="300" w:lineRule="exac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继续做好用地资料组卷工作，完善征地手续，改进设计方案。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9" w:hRule="atLeast"/>
          <w:jc w:val="center"/>
        </w:trPr>
        <w:tc>
          <w:tcPr>
            <w:tcW w:w="1232" w:type="dxa"/>
            <w:vMerge w:val="restart"/>
            <w:shd w:val="clear" w:color="auto" w:fill="FFFFFF"/>
            <w:vAlign w:val="center"/>
          </w:tcPr>
          <w:p>
            <w:pPr>
              <w:autoSpaceDN w:val="0"/>
              <w:spacing w:line="300" w:lineRule="exact"/>
              <w:textAlignment w:val="center"/>
              <w:rPr>
                <w:rFonts w:ascii="Times New Roman" w:hAnsi="Times New Roman" w:eastAsia="方正仿宋简体" w:cs="Times New Roman"/>
                <w:b/>
                <w:sz w:val="24"/>
                <w:szCs w:val="24"/>
              </w:rPr>
            </w:pPr>
            <w:r>
              <w:rPr>
                <w:rFonts w:ascii="Times New Roman" w:hAnsi="Times New Roman" w:eastAsia="方正仿宋简体" w:cs="Times New Roman"/>
                <w:b/>
                <w:sz w:val="24"/>
                <w:szCs w:val="24"/>
              </w:rPr>
              <w:t>三、提升公共文化旅游服务水平</w:t>
            </w:r>
          </w:p>
        </w:tc>
        <w:tc>
          <w:tcPr>
            <w:tcW w:w="1001" w:type="dxa"/>
            <w:vMerge w:val="restart"/>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邹春颖</w:t>
            </w:r>
          </w:p>
        </w:tc>
        <w:tc>
          <w:tcPr>
            <w:tcW w:w="838" w:type="dxa"/>
            <w:vMerge w:val="restart"/>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区文化广电旅游体育局</w:t>
            </w:r>
          </w:p>
        </w:tc>
        <w:tc>
          <w:tcPr>
            <w:tcW w:w="0" w:type="auto"/>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有关镇政府</w:t>
            </w:r>
          </w:p>
        </w:tc>
        <w:tc>
          <w:tcPr>
            <w:tcW w:w="2182"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4.对3个行政村（社区）综合性文化服务中心提质升级，完善设施设备。</w:t>
            </w:r>
          </w:p>
        </w:tc>
        <w:tc>
          <w:tcPr>
            <w:tcW w:w="2551"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3个行政村综合性文化服务中心设施设备已完成采购，拟于4月进行配送安装。</w:t>
            </w:r>
          </w:p>
        </w:tc>
        <w:tc>
          <w:tcPr>
            <w:tcW w:w="793" w:type="dxa"/>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40%</w:t>
            </w:r>
          </w:p>
        </w:tc>
        <w:tc>
          <w:tcPr>
            <w:tcW w:w="3436"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资金支付进度缓慢。</w:t>
            </w:r>
          </w:p>
        </w:tc>
        <w:tc>
          <w:tcPr>
            <w:tcW w:w="2433"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完成对3个行政村综合性文化服务中心设施设备的安装。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9" w:hRule="atLeast"/>
          <w:jc w:val="center"/>
        </w:trPr>
        <w:tc>
          <w:tcPr>
            <w:tcW w:w="1232" w:type="dxa"/>
            <w:vMerge w:val="continue"/>
            <w:shd w:val="clear" w:color="auto" w:fill="FFFFFF"/>
            <w:vAlign w:val="center"/>
          </w:tcPr>
          <w:p>
            <w:pPr>
              <w:autoSpaceDN w:val="0"/>
              <w:spacing w:line="300" w:lineRule="exact"/>
              <w:textAlignment w:val="center"/>
              <w:rPr>
                <w:rFonts w:ascii="Times New Roman" w:hAnsi="Times New Roman" w:eastAsia="方正仿宋简体" w:cs="Times New Roman"/>
                <w:b/>
                <w:sz w:val="24"/>
                <w:szCs w:val="24"/>
              </w:rPr>
            </w:pPr>
          </w:p>
        </w:tc>
        <w:tc>
          <w:tcPr>
            <w:tcW w:w="1001" w:type="dxa"/>
            <w:vMerge w:val="continue"/>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p>
        </w:tc>
        <w:tc>
          <w:tcPr>
            <w:tcW w:w="838" w:type="dxa"/>
            <w:vMerge w:val="continue"/>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p>
        </w:tc>
        <w:tc>
          <w:tcPr>
            <w:tcW w:w="0" w:type="auto"/>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有关镇政府</w:t>
            </w:r>
          </w:p>
        </w:tc>
        <w:tc>
          <w:tcPr>
            <w:tcW w:w="2182"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5.提升新型公共文化空间建设，新建一间耕读书屋、一间粤文坊。</w:t>
            </w:r>
          </w:p>
        </w:tc>
        <w:tc>
          <w:tcPr>
            <w:tcW w:w="2551"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（1）阳东区</w:t>
            </w:r>
            <w:bookmarkStart w:id="0" w:name="_GoBack"/>
            <w:bookmarkEnd w:id="0"/>
            <w:r>
              <w:rPr>
                <w:rFonts w:hint="eastAsia" w:ascii="Times New Roman" w:hAnsi="Times New Roman" w:eastAsia="方正仿宋简体" w:cs="Times New Roman"/>
                <w:sz w:val="24"/>
                <w:szCs w:val="24"/>
                <w:lang w:eastAsia="zh-CN"/>
              </w:rPr>
              <w:t>老干部活动中心</w:t>
            </w:r>
            <w:r>
              <w:rPr>
                <w:rFonts w:ascii="Times New Roman" w:hAnsi="Times New Roman" w:eastAsia="方正仿宋简体" w:cs="Times New Roman"/>
                <w:sz w:val="24"/>
                <w:szCs w:val="24"/>
              </w:rPr>
              <w:t>耕读书屋建设中，计划4月完成主体建设，于5月完善设备设施。</w:t>
            </w:r>
          </w:p>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（2）阳东区粤文坊主体装修已于2月完成，待筹措资金后购买设备，计划于5月底前面向群众免费开放。</w:t>
            </w:r>
          </w:p>
        </w:tc>
        <w:tc>
          <w:tcPr>
            <w:tcW w:w="793" w:type="dxa"/>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70%</w:t>
            </w:r>
          </w:p>
        </w:tc>
        <w:tc>
          <w:tcPr>
            <w:tcW w:w="3436"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资金支付进度缓慢。</w:t>
            </w:r>
          </w:p>
        </w:tc>
        <w:tc>
          <w:tcPr>
            <w:tcW w:w="2433"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持续做好新型公共文化空间的管理运营工作，为群众提供丰富多样的文化艺术服务。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0" w:hRule="atLeast"/>
          <w:jc w:val="center"/>
        </w:trPr>
        <w:tc>
          <w:tcPr>
            <w:tcW w:w="1232" w:type="dxa"/>
            <w:vMerge w:val="restart"/>
            <w:shd w:val="clear" w:color="auto" w:fill="FFFFFF"/>
            <w:vAlign w:val="center"/>
          </w:tcPr>
          <w:p>
            <w:pPr>
              <w:autoSpaceDN w:val="0"/>
              <w:spacing w:line="300" w:lineRule="exact"/>
              <w:textAlignment w:val="center"/>
              <w:rPr>
                <w:rFonts w:ascii="Times New Roman" w:hAnsi="Times New Roman" w:eastAsia="方正仿宋简体" w:cs="Times New Roman"/>
                <w:b/>
                <w:sz w:val="24"/>
                <w:szCs w:val="24"/>
              </w:rPr>
            </w:pPr>
            <w:r>
              <w:rPr>
                <w:rFonts w:ascii="Times New Roman" w:hAnsi="Times New Roman" w:eastAsia="方正仿宋简体" w:cs="Times New Roman"/>
                <w:b/>
                <w:sz w:val="24"/>
                <w:szCs w:val="24"/>
              </w:rPr>
              <w:t>三、提升公共文化旅游服务水平</w:t>
            </w:r>
          </w:p>
        </w:tc>
        <w:tc>
          <w:tcPr>
            <w:tcW w:w="1001" w:type="dxa"/>
            <w:vMerge w:val="restart"/>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邹春颖</w:t>
            </w:r>
          </w:p>
        </w:tc>
        <w:tc>
          <w:tcPr>
            <w:tcW w:w="838" w:type="dxa"/>
            <w:vMerge w:val="restart"/>
            <w:shd w:val="clear" w:color="auto" w:fill="FFFFFF"/>
            <w:vAlign w:val="center"/>
          </w:tcPr>
          <w:p>
            <w:pPr>
              <w:adjustRightInd w:val="0"/>
              <w:snapToGrid w:val="0"/>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东城镇政府</w:t>
            </w:r>
          </w:p>
        </w:tc>
        <w:tc>
          <w:tcPr>
            <w:tcW w:w="0" w:type="auto"/>
            <w:vMerge w:val="restart"/>
            <w:shd w:val="clear" w:color="auto" w:fill="FFFFFF"/>
            <w:vAlign w:val="center"/>
          </w:tcPr>
          <w:p>
            <w:pPr>
              <w:adjustRightInd w:val="0"/>
              <w:snapToGrid w:val="0"/>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区财政局</w:t>
            </w:r>
            <w:r>
              <w:rPr>
                <w:rFonts w:hint="eastAsia" w:ascii="Times New Roman" w:hAnsi="Times New Roman" w:eastAsia="方正仿宋简体" w:cs="Times New Roman"/>
                <w:sz w:val="24"/>
                <w:szCs w:val="24"/>
              </w:rPr>
              <w:t>、</w:t>
            </w:r>
          </w:p>
          <w:p>
            <w:pPr>
              <w:adjustRightInd w:val="0"/>
              <w:snapToGrid w:val="0"/>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区文化广电旅游体育局</w:t>
            </w:r>
            <w:r>
              <w:rPr>
                <w:rFonts w:hint="eastAsia" w:ascii="Times New Roman" w:hAnsi="Times New Roman" w:eastAsia="方正仿宋简体" w:cs="Times New Roman"/>
                <w:sz w:val="24"/>
                <w:szCs w:val="24"/>
              </w:rPr>
              <w:t>、</w:t>
            </w:r>
          </w:p>
          <w:p>
            <w:pPr>
              <w:adjustRightInd w:val="0"/>
              <w:snapToGrid w:val="0"/>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区工业和信息化局</w:t>
            </w:r>
            <w:r>
              <w:rPr>
                <w:rFonts w:hint="eastAsia" w:ascii="Times New Roman" w:hAnsi="Times New Roman" w:eastAsia="方正仿宋简体" w:cs="Times New Roman"/>
                <w:sz w:val="24"/>
                <w:szCs w:val="24"/>
              </w:rPr>
              <w:t>、</w:t>
            </w:r>
          </w:p>
          <w:p>
            <w:pPr>
              <w:adjustRightInd w:val="0"/>
              <w:snapToGrid w:val="0"/>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市市场监督管理局阳东分局</w:t>
            </w:r>
            <w:r>
              <w:rPr>
                <w:rFonts w:hint="eastAsia" w:ascii="Times New Roman" w:hAnsi="Times New Roman" w:eastAsia="方正仿宋简体" w:cs="Times New Roman"/>
                <w:sz w:val="24"/>
                <w:szCs w:val="24"/>
              </w:rPr>
              <w:t>、</w:t>
            </w:r>
          </w:p>
          <w:p>
            <w:pPr>
              <w:adjustRightInd w:val="0"/>
              <w:snapToGrid w:val="0"/>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区城市管理和综合执法局</w:t>
            </w:r>
            <w:r>
              <w:rPr>
                <w:rFonts w:hint="eastAsia" w:ascii="Times New Roman" w:hAnsi="Times New Roman" w:eastAsia="方正仿宋简体" w:cs="Times New Roman"/>
                <w:sz w:val="24"/>
                <w:szCs w:val="24"/>
              </w:rPr>
              <w:t>、</w:t>
            </w:r>
          </w:p>
          <w:p>
            <w:pPr>
              <w:adjustRightInd w:val="0"/>
              <w:snapToGrid w:val="0"/>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区文联</w:t>
            </w:r>
          </w:p>
        </w:tc>
        <w:tc>
          <w:tcPr>
            <w:tcW w:w="2182" w:type="dxa"/>
            <w:vMerge w:val="restart"/>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6.打造东城镇饮食文化</w:t>
            </w:r>
            <w:r>
              <w:rPr>
                <w:rFonts w:hint="eastAsia" w:ascii="Times New Roman" w:hAnsi="Times New Roman" w:eastAsia="方正仿宋简体" w:cs="Times New Roman"/>
                <w:sz w:val="24"/>
                <w:szCs w:val="24"/>
              </w:rPr>
              <w:t>“漠阳味道”美食街，谋划打造东城镇五金刀</w:t>
            </w:r>
            <w:r>
              <w:rPr>
                <w:rFonts w:ascii="Times New Roman" w:hAnsi="Times New Roman" w:eastAsia="方正仿宋简体" w:cs="Times New Roman"/>
                <w:sz w:val="24"/>
                <w:szCs w:val="24"/>
              </w:rPr>
              <w:t>剪及音乐文旅街区。</w:t>
            </w:r>
          </w:p>
        </w:tc>
        <w:tc>
          <w:tcPr>
            <w:tcW w:w="2551"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hint="eastAsia" w:ascii="Times New Roman" w:hAnsi="Times New Roman" w:eastAsia="方正仿宋简体" w:cs="Times New Roman"/>
                <w:sz w:val="24"/>
                <w:szCs w:val="24"/>
              </w:rPr>
              <w:t>“漠阳味道”</w:t>
            </w:r>
            <w:r>
              <w:rPr>
                <w:rFonts w:ascii="Times New Roman" w:hAnsi="Times New Roman" w:eastAsia="方正仿宋简体" w:cs="Times New Roman"/>
                <w:sz w:val="24"/>
                <w:szCs w:val="24"/>
              </w:rPr>
              <w:t>美食街方面，已引导相关企业完成兴德片区灯光装饰等美化亮化工作。</w:t>
            </w:r>
          </w:p>
        </w:tc>
        <w:tc>
          <w:tcPr>
            <w:tcW w:w="793" w:type="dxa"/>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40%</w:t>
            </w:r>
          </w:p>
        </w:tc>
        <w:tc>
          <w:tcPr>
            <w:tcW w:w="3436"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镇级财力及职权有限，协调推进力度不强。</w:t>
            </w:r>
          </w:p>
        </w:tc>
        <w:tc>
          <w:tcPr>
            <w:tcW w:w="2433"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强化与文广、工信等相关部门的沟通协调，加快完善美食街区停车场等配套设施，积极引导更多经营主体参与美食街打造。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5" w:hRule="atLeast"/>
          <w:jc w:val="center"/>
        </w:trPr>
        <w:tc>
          <w:tcPr>
            <w:tcW w:w="1232" w:type="dxa"/>
            <w:vMerge w:val="continue"/>
            <w:shd w:val="clear" w:color="auto" w:fill="FFFFFF"/>
            <w:vAlign w:val="center"/>
          </w:tcPr>
          <w:p>
            <w:pPr>
              <w:autoSpaceDN w:val="0"/>
              <w:spacing w:line="300" w:lineRule="exact"/>
              <w:textAlignment w:val="center"/>
              <w:rPr>
                <w:rFonts w:ascii="Times New Roman" w:hAnsi="Times New Roman" w:eastAsia="方正仿宋简体" w:cs="Times New Roman"/>
                <w:b/>
                <w:sz w:val="24"/>
                <w:szCs w:val="24"/>
              </w:rPr>
            </w:pPr>
          </w:p>
        </w:tc>
        <w:tc>
          <w:tcPr>
            <w:tcW w:w="1001" w:type="dxa"/>
            <w:vMerge w:val="continue"/>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p>
        </w:tc>
        <w:tc>
          <w:tcPr>
            <w:tcW w:w="838" w:type="dxa"/>
            <w:vMerge w:val="continue"/>
            <w:shd w:val="clear" w:color="auto" w:fill="FFFFFF"/>
            <w:vAlign w:val="center"/>
          </w:tcPr>
          <w:p>
            <w:pPr>
              <w:adjustRightInd w:val="0"/>
              <w:snapToGrid w:val="0"/>
              <w:spacing w:line="300" w:lineRule="exact"/>
              <w:jc w:val="center"/>
              <w:rPr>
                <w:rFonts w:ascii="Times New Roman" w:hAnsi="Times New Roman" w:eastAsia="方正仿宋简体" w:cs="Times New Roman"/>
                <w:sz w:val="24"/>
                <w:szCs w:val="24"/>
              </w:rPr>
            </w:pPr>
          </w:p>
        </w:tc>
        <w:tc>
          <w:tcPr>
            <w:tcW w:w="0" w:type="auto"/>
            <w:vMerge w:val="continue"/>
            <w:shd w:val="clear" w:color="auto" w:fill="FFFFFF"/>
            <w:vAlign w:val="center"/>
          </w:tcPr>
          <w:p>
            <w:pPr>
              <w:adjustRightInd w:val="0"/>
              <w:snapToGrid w:val="0"/>
              <w:spacing w:line="300" w:lineRule="exact"/>
              <w:jc w:val="center"/>
              <w:rPr>
                <w:rFonts w:ascii="Times New Roman" w:hAnsi="Times New Roman" w:eastAsia="方正仿宋简体" w:cs="Times New Roman"/>
                <w:sz w:val="24"/>
                <w:szCs w:val="24"/>
              </w:rPr>
            </w:pPr>
          </w:p>
        </w:tc>
        <w:tc>
          <w:tcPr>
            <w:tcW w:w="2182" w:type="dxa"/>
            <w:vMerge w:val="continue"/>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p>
        </w:tc>
        <w:tc>
          <w:tcPr>
            <w:tcW w:w="2551" w:type="dxa"/>
            <w:shd w:val="clear" w:color="auto" w:fill="FFFFFF"/>
            <w:vAlign w:val="center"/>
          </w:tcPr>
          <w:p>
            <w:pPr>
              <w:autoSpaceDN w:val="0"/>
              <w:spacing w:line="28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谋划打造东城五金刀剪及音乐文旅街区方面，已完成十八子四合院食府、收藏馆所在街区的建筑、道路、景观建设，修缮建设古玩城古巷，有40家商家入驻古玩城。</w:t>
            </w:r>
          </w:p>
        </w:tc>
        <w:tc>
          <w:tcPr>
            <w:tcW w:w="793" w:type="dxa"/>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70%</w:t>
            </w:r>
          </w:p>
        </w:tc>
        <w:tc>
          <w:tcPr>
            <w:tcW w:w="3436" w:type="dxa"/>
            <w:shd w:val="clear" w:color="auto" w:fill="FFFFFF"/>
            <w:vAlign w:val="center"/>
          </w:tcPr>
          <w:p>
            <w:pPr>
              <w:autoSpaceDN w:val="0"/>
              <w:spacing w:line="300" w:lineRule="exac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镇级财力及职权有限，协调推进力度不强。</w:t>
            </w:r>
          </w:p>
        </w:tc>
        <w:tc>
          <w:tcPr>
            <w:tcW w:w="2433"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加快建设</w:t>
            </w:r>
            <w:r>
              <w:rPr>
                <w:rFonts w:hint="eastAsia" w:ascii="Times New Roman" w:hAnsi="Times New Roman" w:eastAsia="方正仿宋简体" w:cs="Times New Roman"/>
                <w:sz w:val="24"/>
                <w:szCs w:val="24"/>
              </w:rPr>
              <w:t>“刀剪＋文创”</w:t>
            </w:r>
            <w:r>
              <w:rPr>
                <w:rFonts w:ascii="Times New Roman" w:hAnsi="Times New Roman" w:eastAsia="方正仿宋简体" w:cs="Times New Roman"/>
                <w:sz w:val="24"/>
                <w:szCs w:val="24"/>
              </w:rPr>
              <w:t>街区留声机博物馆、文旅舞台等设施，加大招商力度，争取更多商家入驻古玩城。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5" w:hRule="atLeast"/>
          <w:jc w:val="center"/>
        </w:trPr>
        <w:tc>
          <w:tcPr>
            <w:tcW w:w="1232" w:type="dxa"/>
            <w:vMerge w:val="continue"/>
            <w:shd w:val="clear" w:color="auto" w:fill="FFFFFF"/>
            <w:vAlign w:val="center"/>
          </w:tcPr>
          <w:p>
            <w:pPr>
              <w:autoSpaceDN w:val="0"/>
              <w:spacing w:line="300" w:lineRule="exact"/>
              <w:textAlignment w:val="center"/>
              <w:rPr>
                <w:rFonts w:ascii="Times New Roman" w:hAnsi="Times New Roman" w:eastAsia="方正仿宋简体" w:cs="Times New Roman"/>
                <w:b/>
                <w:sz w:val="24"/>
                <w:szCs w:val="24"/>
              </w:rPr>
            </w:pPr>
          </w:p>
        </w:tc>
        <w:tc>
          <w:tcPr>
            <w:tcW w:w="1001" w:type="dxa"/>
            <w:vMerge w:val="continue"/>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p>
        </w:tc>
        <w:tc>
          <w:tcPr>
            <w:tcW w:w="838" w:type="dxa"/>
            <w:shd w:val="clear" w:color="auto" w:fill="FFFFFF"/>
            <w:vAlign w:val="center"/>
          </w:tcPr>
          <w:p>
            <w:pPr>
              <w:adjustRightInd w:val="0"/>
              <w:snapToGrid w:val="0"/>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东平镇政府</w:t>
            </w:r>
          </w:p>
        </w:tc>
        <w:tc>
          <w:tcPr>
            <w:tcW w:w="0" w:type="auto"/>
            <w:shd w:val="clear" w:color="auto" w:fill="FFFFFF"/>
            <w:vAlign w:val="center"/>
          </w:tcPr>
          <w:p>
            <w:pPr>
              <w:adjustRightInd w:val="0"/>
              <w:snapToGrid w:val="0"/>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区财政局</w:t>
            </w:r>
            <w:r>
              <w:rPr>
                <w:rFonts w:hint="eastAsia" w:ascii="Times New Roman" w:hAnsi="Times New Roman" w:eastAsia="方正仿宋简体" w:cs="Times New Roman"/>
                <w:sz w:val="24"/>
                <w:szCs w:val="24"/>
              </w:rPr>
              <w:t>、</w:t>
            </w:r>
          </w:p>
          <w:p>
            <w:pPr>
              <w:adjustRightInd w:val="0"/>
              <w:snapToGrid w:val="0"/>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区文化广电旅游体育局</w:t>
            </w:r>
            <w:r>
              <w:rPr>
                <w:rFonts w:hint="eastAsia" w:ascii="Times New Roman" w:hAnsi="Times New Roman" w:eastAsia="方正仿宋简体" w:cs="Times New Roman"/>
                <w:sz w:val="24"/>
                <w:szCs w:val="24"/>
              </w:rPr>
              <w:t>、</w:t>
            </w:r>
          </w:p>
          <w:p>
            <w:pPr>
              <w:adjustRightInd w:val="0"/>
              <w:snapToGrid w:val="0"/>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区工业和信息化局</w:t>
            </w:r>
            <w:r>
              <w:rPr>
                <w:rFonts w:hint="eastAsia" w:ascii="Times New Roman" w:hAnsi="Times New Roman" w:eastAsia="方正仿宋简体" w:cs="Times New Roman"/>
                <w:sz w:val="24"/>
                <w:szCs w:val="24"/>
              </w:rPr>
              <w:t>、</w:t>
            </w:r>
          </w:p>
          <w:p>
            <w:pPr>
              <w:adjustRightInd w:val="0"/>
              <w:snapToGrid w:val="0"/>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市市场监督管理局阳东分局</w:t>
            </w:r>
          </w:p>
        </w:tc>
        <w:tc>
          <w:tcPr>
            <w:tcW w:w="2182"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7.打造东平镇旅游购物街。</w:t>
            </w:r>
          </w:p>
        </w:tc>
        <w:tc>
          <w:tcPr>
            <w:tcW w:w="2551"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正在开展初步设计工作，拟对东平镇龙井大道房屋外立面微改造，</w:t>
            </w:r>
            <w:r>
              <w:rPr>
                <w:rFonts w:hint="eastAsia" w:ascii="Times New Roman" w:hAnsi="Times New Roman" w:eastAsia="方正仿宋简体" w:cs="Times New Roman"/>
                <w:sz w:val="24"/>
                <w:szCs w:val="24"/>
              </w:rPr>
              <w:t>“三线”</w:t>
            </w:r>
            <w:r>
              <w:rPr>
                <w:rFonts w:ascii="Times New Roman" w:hAnsi="Times New Roman" w:eastAsia="方正仿宋简体" w:cs="Times New Roman"/>
                <w:sz w:val="24"/>
                <w:szCs w:val="24"/>
              </w:rPr>
              <w:t>下地，统一空调外架、街招，道路进行升级改造，建设地区特色文创小品等。</w:t>
            </w:r>
          </w:p>
        </w:tc>
        <w:tc>
          <w:tcPr>
            <w:tcW w:w="793" w:type="dxa"/>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8%</w:t>
            </w:r>
          </w:p>
        </w:tc>
        <w:tc>
          <w:tcPr>
            <w:tcW w:w="3436"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建设资金尚未落实。</w:t>
            </w:r>
          </w:p>
        </w:tc>
        <w:tc>
          <w:tcPr>
            <w:tcW w:w="2433"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完善初步设计方案。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9" w:hRule="atLeast"/>
          <w:jc w:val="center"/>
        </w:trPr>
        <w:tc>
          <w:tcPr>
            <w:tcW w:w="1232" w:type="dxa"/>
            <w:shd w:val="clear" w:color="auto" w:fill="FFFFFF"/>
            <w:vAlign w:val="center"/>
          </w:tcPr>
          <w:p>
            <w:pPr>
              <w:autoSpaceDN w:val="0"/>
              <w:spacing w:line="300" w:lineRule="exact"/>
              <w:textAlignment w:val="center"/>
              <w:rPr>
                <w:rFonts w:ascii="Times New Roman" w:hAnsi="Times New Roman" w:eastAsia="方正仿宋简体" w:cs="Times New Roman"/>
                <w:b/>
                <w:sz w:val="24"/>
                <w:szCs w:val="24"/>
              </w:rPr>
            </w:pPr>
            <w:r>
              <w:rPr>
                <w:rFonts w:ascii="Times New Roman" w:hAnsi="Times New Roman" w:eastAsia="方正仿宋简体" w:cs="Times New Roman"/>
                <w:b/>
                <w:sz w:val="24"/>
                <w:szCs w:val="24"/>
              </w:rPr>
              <w:t>三、提升公共文化旅游服务水平</w:t>
            </w:r>
          </w:p>
        </w:tc>
        <w:tc>
          <w:tcPr>
            <w:tcW w:w="1001" w:type="dxa"/>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color w:val="000000"/>
                <w:sz w:val="24"/>
                <w:szCs w:val="24"/>
              </w:rPr>
              <w:t>梁尚平</w:t>
            </w:r>
          </w:p>
        </w:tc>
        <w:tc>
          <w:tcPr>
            <w:tcW w:w="838" w:type="dxa"/>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区委宣传部</w:t>
            </w:r>
          </w:p>
        </w:tc>
        <w:tc>
          <w:tcPr>
            <w:tcW w:w="0" w:type="auto"/>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有关镇政府</w:t>
            </w:r>
          </w:p>
        </w:tc>
        <w:tc>
          <w:tcPr>
            <w:tcW w:w="2182"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8.建设3个新时代文明实践示范所，5个新时代文明实践示范站。</w:t>
            </w:r>
          </w:p>
        </w:tc>
        <w:tc>
          <w:tcPr>
            <w:tcW w:w="2551"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（1）依托乡镇文化站、党群服务中心等建设文明示范所、站，建设了配套的理论宣讲、教育培训、文化服务等功能室。</w:t>
            </w:r>
          </w:p>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（2）扎实开展惠民和移风易俗、树立文明新风活动，丰富活跃群众文化生活，增强群众文明意识，提升新时代文明实践成效。</w:t>
            </w:r>
          </w:p>
          <w:p>
            <w:pPr>
              <w:widowControl/>
              <w:spacing w:line="300" w:lineRule="exact"/>
              <w:jc w:val="left"/>
              <w:rPr>
                <w:rFonts w:ascii="Times New Roman" w:hAnsi="Times New Roman" w:eastAsia="方正仿宋简体" w:cs="Times New Roman"/>
                <w:sz w:val="24"/>
                <w:szCs w:val="24"/>
              </w:rPr>
            </w:pPr>
            <w:r>
              <w:rPr>
                <w:rFonts w:ascii="Times New Roman" w:hAnsi="Times New Roman" w:eastAsia="方正仿宋简体" w:cs="Times New Roman"/>
                <w:sz w:val="24"/>
                <w:szCs w:val="24"/>
              </w:rPr>
              <w:t>（3）多样化开展助力</w:t>
            </w:r>
            <w:r>
              <w:rPr>
                <w:rFonts w:hint="eastAsia" w:ascii="Times New Roman" w:hAnsi="Times New Roman" w:eastAsia="方正仿宋简体" w:cs="Times New Roman"/>
                <w:sz w:val="24"/>
                <w:szCs w:val="24"/>
              </w:rPr>
              <w:t>“百千万”</w:t>
            </w:r>
            <w:r>
              <w:rPr>
                <w:rFonts w:ascii="Times New Roman" w:hAnsi="Times New Roman" w:eastAsia="方正仿宋简体" w:cs="Times New Roman"/>
                <w:sz w:val="24"/>
                <w:szCs w:val="24"/>
              </w:rPr>
              <w:t>工程的文明实践和志愿服务活动，促进镇村高质量发展。</w:t>
            </w:r>
          </w:p>
        </w:tc>
        <w:tc>
          <w:tcPr>
            <w:tcW w:w="793" w:type="dxa"/>
            <w:shd w:val="clear" w:color="auto" w:fill="FFFFFF"/>
            <w:vAlign w:val="center"/>
          </w:tcPr>
          <w:p>
            <w:pPr>
              <w:widowControl/>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50%</w:t>
            </w:r>
          </w:p>
        </w:tc>
        <w:tc>
          <w:tcPr>
            <w:tcW w:w="3436" w:type="dxa"/>
            <w:shd w:val="clear" w:color="auto" w:fill="FFFFFF"/>
            <w:vAlign w:val="center"/>
          </w:tcPr>
          <w:p>
            <w:pPr>
              <w:widowControl/>
              <w:spacing w:line="300" w:lineRule="exact"/>
              <w:jc w:val="left"/>
              <w:rPr>
                <w:rFonts w:ascii="Times New Roman" w:hAnsi="Times New Roman" w:eastAsia="方正仿宋简体" w:cs="Times New Roman"/>
                <w:sz w:val="24"/>
                <w:szCs w:val="24"/>
              </w:rPr>
            </w:pPr>
            <w:r>
              <w:rPr>
                <w:rFonts w:ascii="Times New Roman" w:hAnsi="Times New Roman" w:eastAsia="方正仿宋简体" w:cs="Times New Roman"/>
                <w:sz w:val="24"/>
                <w:szCs w:val="24"/>
              </w:rPr>
              <w:t>专项建设资金未到位。</w:t>
            </w:r>
          </w:p>
        </w:tc>
        <w:tc>
          <w:tcPr>
            <w:tcW w:w="2433" w:type="dxa"/>
            <w:shd w:val="clear" w:color="auto" w:fill="FFFFFF"/>
            <w:vAlign w:val="center"/>
          </w:tcPr>
          <w:p>
            <w:pPr>
              <w:widowControl/>
              <w:spacing w:line="300" w:lineRule="exact"/>
              <w:jc w:val="left"/>
              <w:rPr>
                <w:rFonts w:ascii="Times New Roman" w:hAnsi="Times New Roman" w:eastAsia="方正仿宋简体" w:cs="Times New Roman"/>
                <w:sz w:val="24"/>
                <w:szCs w:val="24"/>
              </w:rPr>
            </w:pPr>
            <w:r>
              <w:rPr>
                <w:rFonts w:ascii="Times New Roman" w:hAnsi="Times New Roman" w:eastAsia="方正仿宋简体" w:cs="Times New Roman"/>
                <w:sz w:val="24"/>
                <w:szCs w:val="24"/>
              </w:rPr>
              <w:t>按照《阳江市新时代文明实践示范所建设标准指引》和《阳江市新时代文明实践示范站建设标准指引》要求，按照有场所、有队伍、有活动、有项目、有机制</w:t>
            </w:r>
            <w:r>
              <w:rPr>
                <w:rFonts w:hint="eastAsia" w:ascii="Times New Roman" w:hAnsi="Times New Roman" w:eastAsia="方正仿宋简体" w:cs="Times New Roman"/>
                <w:sz w:val="24"/>
                <w:szCs w:val="24"/>
              </w:rPr>
              <w:t>的“五有”标准，按照资源整合到位、体制机制健全、服务群众精准的要求，坚持“标准指引、示范带动，以点带面、整体推进”的思路，加快建设完善新时代文明示范所站。广泛开展新时代文明实践主题活动，不断满足群众精神文</w:t>
            </w:r>
            <w:r>
              <w:rPr>
                <w:rFonts w:ascii="Times New Roman" w:hAnsi="Times New Roman" w:eastAsia="方正仿宋简体" w:cs="Times New Roman"/>
                <w:sz w:val="24"/>
                <w:szCs w:val="24"/>
              </w:rPr>
              <w:t>化生活的需求。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3" w:hRule="atLeast"/>
          <w:jc w:val="center"/>
        </w:trPr>
        <w:tc>
          <w:tcPr>
            <w:tcW w:w="1232" w:type="dxa"/>
            <w:vMerge w:val="restart"/>
            <w:shd w:val="clear" w:color="auto" w:fill="FFFFFF"/>
            <w:vAlign w:val="center"/>
          </w:tcPr>
          <w:p>
            <w:pPr>
              <w:autoSpaceDN w:val="0"/>
              <w:spacing w:line="300" w:lineRule="exact"/>
              <w:textAlignment w:val="center"/>
              <w:rPr>
                <w:rFonts w:ascii="Times New Roman" w:hAnsi="Times New Roman" w:eastAsia="方正仿宋简体" w:cs="Times New Roman"/>
                <w:b/>
                <w:sz w:val="24"/>
                <w:szCs w:val="24"/>
              </w:rPr>
            </w:pPr>
            <w:r>
              <w:rPr>
                <w:rFonts w:ascii="Times New Roman" w:hAnsi="Times New Roman" w:eastAsia="方正仿宋简体" w:cs="Times New Roman"/>
                <w:b/>
                <w:sz w:val="24"/>
                <w:szCs w:val="24"/>
              </w:rPr>
              <w:t>四、提高防灾减灾救灾能力。</w:t>
            </w:r>
          </w:p>
        </w:tc>
        <w:tc>
          <w:tcPr>
            <w:tcW w:w="1001" w:type="dxa"/>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关芬宇</w:t>
            </w:r>
          </w:p>
        </w:tc>
        <w:tc>
          <w:tcPr>
            <w:tcW w:w="838" w:type="dxa"/>
            <w:shd w:val="clear" w:color="auto" w:fill="FFFFFF"/>
            <w:vAlign w:val="center"/>
          </w:tcPr>
          <w:p>
            <w:pPr>
              <w:adjustRightInd w:val="0"/>
              <w:snapToGrid w:val="0"/>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区水务局</w:t>
            </w:r>
          </w:p>
        </w:tc>
        <w:tc>
          <w:tcPr>
            <w:tcW w:w="0" w:type="auto"/>
            <w:shd w:val="clear" w:color="auto" w:fill="FFFFFF"/>
            <w:vAlign w:val="center"/>
          </w:tcPr>
          <w:p>
            <w:pPr>
              <w:adjustRightInd w:val="0"/>
              <w:snapToGrid w:val="0"/>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区财政局</w:t>
            </w:r>
            <w:r>
              <w:rPr>
                <w:rFonts w:hint="eastAsia" w:ascii="Times New Roman" w:hAnsi="Times New Roman" w:eastAsia="方正仿宋简体" w:cs="Times New Roman"/>
                <w:sz w:val="24"/>
                <w:szCs w:val="24"/>
              </w:rPr>
              <w:t>、</w:t>
            </w:r>
          </w:p>
          <w:p>
            <w:pPr>
              <w:adjustRightInd w:val="0"/>
              <w:snapToGrid w:val="0"/>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市自然资源局阳东分局</w:t>
            </w:r>
            <w:r>
              <w:rPr>
                <w:rFonts w:hint="eastAsia" w:ascii="Times New Roman" w:hAnsi="Times New Roman" w:eastAsia="方正仿宋简体" w:cs="Times New Roman"/>
                <w:sz w:val="24"/>
                <w:szCs w:val="24"/>
              </w:rPr>
              <w:t>、</w:t>
            </w:r>
          </w:p>
          <w:p>
            <w:pPr>
              <w:adjustRightInd w:val="0"/>
              <w:snapToGrid w:val="0"/>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雅韶镇政府</w:t>
            </w:r>
          </w:p>
        </w:tc>
        <w:tc>
          <w:tcPr>
            <w:tcW w:w="2182" w:type="dxa"/>
            <w:shd w:val="clear" w:color="auto" w:fill="FFFFFF"/>
            <w:vAlign w:val="center"/>
          </w:tcPr>
          <w:p>
            <w:pPr>
              <w:adjustRightInd w:val="0"/>
              <w:snapToGrid w:val="0"/>
              <w:spacing w:line="300" w:lineRule="exact"/>
              <w:rPr>
                <w:rFonts w:ascii="Times New Roman" w:hAnsi="Times New Roman" w:eastAsia="方正仿宋简体" w:cs="Times New Roman"/>
                <w:sz w:val="24"/>
                <w:szCs w:val="24"/>
              </w:rPr>
            </w:pPr>
            <w:r>
              <w:rPr>
                <w:rFonts w:ascii="Times New Roman" w:hAnsi="Times New Roman" w:eastAsia="方正仿宋简体" w:cs="Times New Roman"/>
                <w:sz w:val="24"/>
                <w:szCs w:val="24"/>
              </w:rPr>
              <w:t>9.根据防洪工程需要，对漠阳江雅韶段台平三丫二期北津至新台公路堤面进行硬底化约3.6公里。</w:t>
            </w:r>
          </w:p>
        </w:tc>
        <w:tc>
          <w:tcPr>
            <w:tcW w:w="2551" w:type="dxa"/>
            <w:shd w:val="clear" w:color="auto" w:fill="FFFFFF"/>
            <w:vAlign w:val="center"/>
          </w:tcPr>
          <w:p>
            <w:pPr>
              <w:widowControl/>
              <w:spacing w:line="300" w:lineRule="exact"/>
              <w:jc w:val="left"/>
              <w:rPr>
                <w:rFonts w:ascii="Times New Roman" w:hAnsi="Times New Roman" w:eastAsia="方正仿宋简体" w:cs="Times New Roman"/>
                <w:sz w:val="24"/>
                <w:szCs w:val="24"/>
              </w:rPr>
            </w:pPr>
            <w:r>
              <w:rPr>
                <w:rFonts w:ascii="Times New Roman" w:hAnsi="Times New Roman" w:eastAsia="方正仿宋简体" w:cs="Times New Roman"/>
                <w:sz w:val="24"/>
                <w:szCs w:val="24"/>
              </w:rPr>
              <w:t>完成了施工图纸勘察设计及项目预算编制等相关工作。</w:t>
            </w:r>
          </w:p>
        </w:tc>
        <w:tc>
          <w:tcPr>
            <w:tcW w:w="793" w:type="dxa"/>
            <w:shd w:val="clear" w:color="auto" w:fill="FFFFFF"/>
            <w:vAlign w:val="center"/>
          </w:tcPr>
          <w:p>
            <w:pPr>
              <w:widowControl/>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15%</w:t>
            </w:r>
          </w:p>
        </w:tc>
        <w:tc>
          <w:tcPr>
            <w:tcW w:w="3436" w:type="dxa"/>
            <w:shd w:val="clear" w:color="auto" w:fill="FFFFFF"/>
            <w:vAlign w:val="center"/>
          </w:tcPr>
          <w:p>
            <w:pPr>
              <w:widowControl/>
              <w:spacing w:line="300" w:lineRule="exact"/>
              <w:jc w:val="left"/>
              <w:rPr>
                <w:rFonts w:ascii="Times New Roman" w:hAnsi="Times New Roman" w:eastAsia="方正仿宋简体" w:cs="Times New Roman"/>
                <w:sz w:val="24"/>
                <w:szCs w:val="24"/>
              </w:rPr>
            </w:pPr>
            <w:r>
              <w:rPr>
                <w:rFonts w:ascii="Times New Roman" w:hAnsi="Times New Roman" w:eastAsia="方正仿宋简体" w:cs="Times New Roman"/>
                <w:sz w:val="24"/>
                <w:szCs w:val="24"/>
              </w:rPr>
              <w:t>建设资金暂没有落实，将积极争取建设资金。</w:t>
            </w:r>
          </w:p>
        </w:tc>
        <w:tc>
          <w:tcPr>
            <w:tcW w:w="2433" w:type="dxa"/>
            <w:shd w:val="clear" w:color="auto" w:fill="FFFFFF"/>
            <w:vAlign w:val="center"/>
          </w:tcPr>
          <w:p>
            <w:pPr>
              <w:widowControl/>
              <w:spacing w:line="300" w:lineRule="exact"/>
              <w:jc w:val="left"/>
              <w:rPr>
                <w:rFonts w:ascii="Times New Roman" w:hAnsi="Times New Roman" w:eastAsia="方正仿宋简体" w:cs="Times New Roman"/>
                <w:sz w:val="24"/>
                <w:szCs w:val="24"/>
              </w:rPr>
            </w:pPr>
            <w:r>
              <w:rPr>
                <w:rFonts w:ascii="Times New Roman" w:hAnsi="Times New Roman" w:eastAsia="方正仿宋简体" w:cs="Times New Roman"/>
                <w:sz w:val="24"/>
                <w:szCs w:val="24"/>
              </w:rPr>
              <w:t>4月份做好建设用地征求意见，5月份完成项目立项，6月份开工建设，10月份完工验收。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8" w:hRule="atLeast"/>
          <w:jc w:val="center"/>
        </w:trPr>
        <w:tc>
          <w:tcPr>
            <w:tcW w:w="1232" w:type="dxa"/>
            <w:vMerge w:val="continue"/>
            <w:shd w:val="clear" w:color="auto" w:fill="FFFFFF"/>
            <w:vAlign w:val="center"/>
          </w:tcPr>
          <w:p>
            <w:pPr>
              <w:autoSpaceDN w:val="0"/>
              <w:spacing w:line="300" w:lineRule="exact"/>
              <w:textAlignment w:val="center"/>
              <w:rPr>
                <w:rFonts w:ascii="Times New Roman" w:hAnsi="Times New Roman" w:eastAsia="方正仿宋简体" w:cs="Times New Roman"/>
                <w:b/>
                <w:sz w:val="24"/>
                <w:szCs w:val="24"/>
              </w:rPr>
            </w:pPr>
          </w:p>
        </w:tc>
        <w:tc>
          <w:tcPr>
            <w:tcW w:w="1001" w:type="dxa"/>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利如晁</w:t>
            </w:r>
          </w:p>
        </w:tc>
        <w:tc>
          <w:tcPr>
            <w:tcW w:w="838" w:type="dxa"/>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市自然资源局阳东分局</w:t>
            </w:r>
          </w:p>
        </w:tc>
        <w:tc>
          <w:tcPr>
            <w:tcW w:w="0" w:type="auto"/>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东平镇政府</w:t>
            </w:r>
          </w:p>
        </w:tc>
        <w:tc>
          <w:tcPr>
            <w:tcW w:w="2182"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10.开展东平镇鸳鸯路道路边坡崩塌地质灾害隐患点治理工程。</w:t>
            </w:r>
          </w:p>
        </w:tc>
        <w:tc>
          <w:tcPr>
            <w:tcW w:w="2551"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该项目总投资441.25万元，建设资金为中央专项资金，目前已完成主体工程，计划在汛期前完成工程治理工作。</w:t>
            </w:r>
          </w:p>
        </w:tc>
        <w:tc>
          <w:tcPr>
            <w:tcW w:w="793" w:type="dxa"/>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90%</w:t>
            </w:r>
          </w:p>
        </w:tc>
        <w:tc>
          <w:tcPr>
            <w:tcW w:w="3436" w:type="dxa"/>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无</w:t>
            </w:r>
          </w:p>
        </w:tc>
        <w:tc>
          <w:tcPr>
            <w:tcW w:w="2433"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尽快组织验收，确保汛期前完成工程治理工作。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4" w:hRule="atLeast"/>
          <w:jc w:val="center"/>
        </w:trPr>
        <w:tc>
          <w:tcPr>
            <w:tcW w:w="1232" w:type="dxa"/>
            <w:vMerge w:val="continue"/>
            <w:shd w:val="clear" w:color="auto" w:fill="FFFFFF"/>
            <w:vAlign w:val="center"/>
          </w:tcPr>
          <w:p>
            <w:pPr>
              <w:autoSpaceDN w:val="0"/>
              <w:spacing w:line="300" w:lineRule="exact"/>
              <w:textAlignment w:val="center"/>
              <w:rPr>
                <w:rFonts w:ascii="Times New Roman" w:hAnsi="Times New Roman" w:eastAsia="方正仿宋简体" w:cs="Times New Roman"/>
                <w:b/>
                <w:sz w:val="24"/>
                <w:szCs w:val="24"/>
              </w:rPr>
            </w:pPr>
          </w:p>
        </w:tc>
        <w:tc>
          <w:tcPr>
            <w:tcW w:w="1001" w:type="dxa"/>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陈华清</w:t>
            </w:r>
          </w:p>
        </w:tc>
        <w:tc>
          <w:tcPr>
            <w:tcW w:w="838" w:type="dxa"/>
            <w:shd w:val="clear" w:color="auto" w:fill="FFFFFF"/>
            <w:vAlign w:val="center"/>
          </w:tcPr>
          <w:p>
            <w:pPr>
              <w:adjustRightInd w:val="0"/>
              <w:snapToGrid w:val="0"/>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区消防救援大队</w:t>
            </w:r>
          </w:p>
        </w:tc>
        <w:tc>
          <w:tcPr>
            <w:tcW w:w="0" w:type="auto"/>
            <w:shd w:val="clear" w:color="auto" w:fill="FFFFFF"/>
            <w:vAlign w:val="center"/>
          </w:tcPr>
          <w:p>
            <w:pPr>
              <w:adjustRightInd w:val="0"/>
              <w:snapToGrid w:val="0"/>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区发展改革局</w:t>
            </w:r>
            <w:r>
              <w:rPr>
                <w:rFonts w:hint="eastAsia" w:ascii="Times New Roman" w:hAnsi="Times New Roman" w:eastAsia="方正仿宋简体" w:cs="Times New Roman"/>
                <w:sz w:val="24"/>
                <w:szCs w:val="24"/>
              </w:rPr>
              <w:t>、</w:t>
            </w:r>
          </w:p>
          <w:p>
            <w:pPr>
              <w:adjustRightInd w:val="0"/>
              <w:snapToGrid w:val="0"/>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区财政局</w:t>
            </w:r>
            <w:r>
              <w:rPr>
                <w:rFonts w:hint="eastAsia" w:ascii="Times New Roman" w:hAnsi="Times New Roman" w:eastAsia="方正仿宋简体" w:cs="Times New Roman"/>
                <w:sz w:val="24"/>
                <w:szCs w:val="24"/>
              </w:rPr>
              <w:t>、</w:t>
            </w:r>
          </w:p>
          <w:p>
            <w:pPr>
              <w:adjustRightInd w:val="0"/>
              <w:snapToGrid w:val="0"/>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大八镇政府</w:t>
            </w:r>
          </w:p>
        </w:tc>
        <w:tc>
          <w:tcPr>
            <w:tcW w:w="2182" w:type="dxa"/>
            <w:shd w:val="clear" w:color="auto" w:fill="FFFFFF"/>
            <w:vAlign w:val="center"/>
          </w:tcPr>
          <w:p>
            <w:pPr>
              <w:adjustRightInd w:val="0"/>
              <w:snapToGrid w:val="0"/>
              <w:spacing w:line="300" w:lineRule="exact"/>
              <w:rPr>
                <w:rFonts w:ascii="Times New Roman" w:hAnsi="Times New Roman" w:eastAsia="方正仿宋简体" w:cs="Times New Roman"/>
                <w:sz w:val="24"/>
                <w:szCs w:val="24"/>
              </w:rPr>
            </w:pPr>
            <w:r>
              <w:rPr>
                <w:rFonts w:ascii="Times New Roman" w:hAnsi="Times New Roman" w:eastAsia="方正仿宋简体" w:cs="Times New Roman"/>
                <w:sz w:val="24"/>
                <w:szCs w:val="24"/>
              </w:rPr>
              <w:t>11.开展</w:t>
            </w:r>
            <w:r>
              <w:rPr>
                <w:rFonts w:ascii="Times New Roman" w:hAnsi="Times New Roman" w:eastAsia="方正仿宋简体" w:cs="Times New Roman"/>
                <w:kern w:val="0"/>
                <w:sz w:val="24"/>
                <w:szCs w:val="24"/>
              </w:rPr>
              <w:t>大八镇专职消防队营房升级改造工程，将现专职消防队临时办公用房及周边部分空地改建为专职消防队营房。</w:t>
            </w:r>
          </w:p>
        </w:tc>
        <w:tc>
          <w:tcPr>
            <w:tcW w:w="2551" w:type="dxa"/>
            <w:shd w:val="clear" w:color="auto" w:fill="FFFFFF"/>
            <w:vAlign w:val="center"/>
          </w:tcPr>
          <w:p>
            <w:pPr>
              <w:widowControl/>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目前已完成改造设计。</w:t>
            </w:r>
          </w:p>
        </w:tc>
        <w:tc>
          <w:tcPr>
            <w:tcW w:w="793" w:type="dxa"/>
            <w:shd w:val="clear" w:color="auto" w:fill="FFFFFF"/>
            <w:vAlign w:val="center"/>
          </w:tcPr>
          <w:p>
            <w:pPr>
              <w:widowControl/>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10%</w:t>
            </w:r>
          </w:p>
        </w:tc>
        <w:tc>
          <w:tcPr>
            <w:tcW w:w="3436" w:type="dxa"/>
            <w:shd w:val="clear" w:color="auto" w:fill="FFFFFF"/>
            <w:vAlign w:val="center"/>
          </w:tcPr>
          <w:p>
            <w:pPr>
              <w:widowControl/>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资金未落实。</w:t>
            </w:r>
          </w:p>
        </w:tc>
        <w:tc>
          <w:tcPr>
            <w:tcW w:w="2433" w:type="dxa"/>
            <w:shd w:val="clear" w:color="auto" w:fill="FFFFFF"/>
            <w:vAlign w:val="center"/>
          </w:tcPr>
          <w:p>
            <w:pPr>
              <w:widowControl/>
              <w:spacing w:line="300" w:lineRule="exact"/>
              <w:jc w:val="left"/>
              <w:rPr>
                <w:rFonts w:ascii="Times New Roman" w:hAnsi="Times New Roman" w:eastAsia="方正仿宋简体" w:cs="Times New Roman"/>
                <w:sz w:val="24"/>
                <w:szCs w:val="24"/>
              </w:rPr>
            </w:pPr>
            <w:r>
              <w:rPr>
                <w:rFonts w:ascii="Times New Roman" w:hAnsi="Times New Roman" w:eastAsia="方正仿宋简体" w:cs="Times New Roman"/>
                <w:sz w:val="24"/>
                <w:szCs w:val="24"/>
              </w:rPr>
              <w:t>督促加强沟通协调，尽快明确建设经费额度和经费来源，尽快按照计划开工。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5" w:hRule="atLeast"/>
          <w:jc w:val="center"/>
        </w:trPr>
        <w:tc>
          <w:tcPr>
            <w:tcW w:w="1232" w:type="dxa"/>
            <w:vMerge w:val="restart"/>
            <w:shd w:val="clear" w:color="auto" w:fill="FFFFFF"/>
            <w:vAlign w:val="center"/>
          </w:tcPr>
          <w:p>
            <w:pPr>
              <w:autoSpaceDN w:val="0"/>
              <w:spacing w:line="300" w:lineRule="exact"/>
              <w:textAlignment w:val="center"/>
              <w:rPr>
                <w:rFonts w:ascii="Times New Roman" w:hAnsi="Times New Roman" w:eastAsia="方正仿宋简体" w:cs="Times New Roman"/>
                <w:b/>
                <w:sz w:val="24"/>
                <w:szCs w:val="24"/>
              </w:rPr>
            </w:pPr>
            <w:r>
              <w:rPr>
                <w:rFonts w:ascii="Times New Roman" w:hAnsi="Times New Roman" w:eastAsia="方正仿宋简体" w:cs="Times New Roman"/>
                <w:b/>
                <w:sz w:val="24"/>
                <w:szCs w:val="24"/>
              </w:rPr>
              <w:t>五、加强食品安全监管</w:t>
            </w:r>
          </w:p>
        </w:tc>
        <w:tc>
          <w:tcPr>
            <w:tcW w:w="1001" w:type="dxa"/>
            <w:vMerge w:val="restart"/>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陈基雄</w:t>
            </w:r>
          </w:p>
        </w:tc>
        <w:tc>
          <w:tcPr>
            <w:tcW w:w="838" w:type="dxa"/>
            <w:vMerge w:val="restart"/>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市市场监督管理局阳东分局</w:t>
            </w:r>
          </w:p>
        </w:tc>
        <w:tc>
          <w:tcPr>
            <w:tcW w:w="0" w:type="auto"/>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有关镇政府</w:t>
            </w:r>
          </w:p>
        </w:tc>
        <w:tc>
          <w:tcPr>
            <w:tcW w:w="2182" w:type="dxa"/>
            <w:shd w:val="clear" w:color="auto" w:fill="FFFFFF"/>
            <w:vAlign w:val="center"/>
          </w:tcPr>
          <w:p>
            <w:pPr>
              <w:adjustRightInd w:val="0"/>
              <w:snapToGrid w:val="0"/>
              <w:spacing w:line="300" w:lineRule="exact"/>
              <w:rPr>
                <w:rFonts w:ascii="Times New Roman" w:hAnsi="Times New Roman" w:eastAsia="方正仿宋简体" w:cs="Times New Roman"/>
                <w:sz w:val="24"/>
                <w:szCs w:val="24"/>
              </w:rPr>
            </w:pPr>
            <w:r>
              <w:rPr>
                <w:rFonts w:ascii="Times New Roman" w:hAnsi="Times New Roman" w:eastAsia="方正仿宋简体" w:cs="Times New Roman"/>
                <w:sz w:val="24"/>
                <w:szCs w:val="24"/>
              </w:rPr>
              <w:t>12.加强食品质量安全监督管理，食品抽检量全年不少于2400批次。</w:t>
            </w:r>
          </w:p>
        </w:tc>
        <w:tc>
          <w:tcPr>
            <w:tcW w:w="2551" w:type="dxa"/>
            <w:shd w:val="clear" w:color="auto" w:fill="FFFFFF"/>
            <w:vAlign w:val="center"/>
          </w:tcPr>
          <w:p>
            <w:pPr>
              <w:widowControl/>
              <w:spacing w:line="300" w:lineRule="exact"/>
              <w:rPr>
                <w:rFonts w:ascii="Times New Roman" w:hAnsi="Times New Roman" w:eastAsia="方正仿宋简体" w:cs="Times New Roman"/>
                <w:sz w:val="24"/>
                <w:szCs w:val="24"/>
              </w:rPr>
            </w:pPr>
            <w:r>
              <w:rPr>
                <w:rFonts w:ascii="Times New Roman" w:hAnsi="Times New Roman" w:eastAsia="方正仿宋简体" w:cs="Times New Roman"/>
                <w:sz w:val="24"/>
                <w:szCs w:val="24"/>
              </w:rPr>
              <w:t>已制定2024年阳东区食品安全监督抽检计划，该项工作正在走招投标流程。</w:t>
            </w:r>
          </w:p>
        </w:tc>
        <w:tc>
          <w:tcPr>
            <w:tcW w:w="793" w:type="dxa"/>
            <w:shd w:val="clear" w:color="auto" w:fill="FFFFFF"/>
            <w:vAlign w:val="center"/>
          </w:tcPr>
          <w:p>
            <w:pPr>
              <w:widowControl/>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0</w:t>
            </w:r>
          </w:p>
        </w:tc>
        <w:tc>
          <w:tcPr>
            <w:tcW w:w="3436" w:type="dxa"/>
            <w:shd w:val="clear" w:color="auto" w:fill="FFFFFF"/>
            <w:vAlign w:val="center"/>
          </w:tcPr>
          <w:p>
            <w:pPr>
              <w:widowControl/>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无</w:t>
            </w:r>
          </w:p>
        </w:tc>
        <w:tc>
          <w:tcPr>
            <w:tcW w:w="2433" w:type="dxa"/>
            <w:shd w:val="clear" w:color="auto" w:fill="FFFFFF"/>
            <w:vAlign w:val="center"/>
          </w:tcPr>
          <w:p>
            <w:pPr>
              <w:widowControl/>
              <w:spacing w:line="300" w:lineRule="exact"/>
              <w:rPr>
                <w:rFonts w:ascii="Times New Roman" w:hAnsi="Times New Roman" w:eastAsia="方正仿宋简体" w:cs="Times New Roman"/>
                <w:sz w:val="24"/>
                <w:szCs w:val="24"/>
              </w:rPr>
            </w:pPr>
            <w:r>
              <w:rPr>
                <w:rFonts w:ascii="Times New Roman" w:hAnsi="Times New Roman" w:eastAsia="方正仿宋简体" w:cs="Times New Roman"/>
                <w:sz w:val="24"/>
                <w:szCs w:val="24"/>
              </w:rPr>
              <w:t>待招标确定第三方检测公司后，按照抽检计划开展抽检工作。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0" w:hRule="atLeast"/>
          <w:jc w:val="center"/>
        </w:trPr>
        <w:tc>
          <w:tcPr>
            <w:tcW w:w="1232" w:type="dxa"/>
            <w:vMerge w:val="continue"/>
            <w:shd w:val="clear" w:color="auto" w:fill="FFFFFF"/>
            <w:vAlign w:val="center"/>
          </w:tcPr>
          <w:p>
            <w:pPr>
              <w:autoSpaceDN w:val="0"/>
              <w:spacing w:line="300" w:lineRule="exact"/>
              <w:textAlignment w:val="center"/>
              <w:rPr>
                <w:rFonts w:ascii="Times New Roman" w:hAnsi="Times New Roman" w:eastAsia="方正仿宋简体" w:cs="Times New Roman"/>
                <w:b/>
                <w:sz w:val="24"/>
                <w:szCs w:val="24"/>
              </w:rPr>
            </w:pPr>
          </w:p>
        </w:tc>
        <w:tc>
          <w:tcPr>
            <w:tcW w:w="1001" w:type="dxa"/>
            <w:vMerge w:val="continue"/>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p>
        </w:tc>
        <w:tc>
          <w:tcPr>
            <w:tcW w:w="838" w:type="dxa"/>
            <w:vMerge w:val="continue"/>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p>
        </w:tc>
        <w:tc>
          <w:tcPr>
            <w:tcW w:w="0" w:type="auto"/>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有关镇政府</w:t>
            </w:r>
          </w:p>
        </w:tc>
        <w:tc>
          <w:tcPr>
            <w:tcW w:w="2182" w:type="dxa"/>
            <w:shd w:val="clear" w:color="auto" w:fill="FFFFFF"/>
            <w:vAlign w:val="center"/>
          </w:tcPr>
          <w:p>
            <w:pPr>
              <w:adjustRightInd w:val="0"/>
              <w:snapToGrid w:val="0"/>
              <w:spacing w:line="300" w:lineRule="exact"/>
              <w:rPr>
                <w:rFonts w:ascii="Times New Roman" w:hAnsi="Times New Roman" w:eastAsia="方正仿宋简体" w:cs="Times New Roman"/>
                <w:sz w:val="24"/>
                <w:szCs w:val="24"/>
              </w:rPr>
            </w:pPr>
            <w:r>
              <w:rPr>
                <w:rFonts w:ascii="Times New Roman" w:hAnsi="Times New Roman" w:eastAsia="方正仿宋简体" w:cs="Times New Roman"/>
                <w:sz w:val="24"/>
                <w:szCs w:val="24"/>
              </w:rPr>
              <w:t>13.加强食用农产品质量安全监督管理，委托第三方对辖区内农贸市场开展食用农产品快速检测服务，确保全年快检任务总量不少于21600批次。</w:t>
            </w:r>
          </w:p>
        </w:tc>
        <w:tc>
          <w:tcPr>
            <w:tcW w:w="2551" w:type="dxa"/>
            <w:shd w:val="clear" w:color="auto" w:fill="FFFFFF"/>
            <w:vAlign w:val="center"/>
          </w:tcPr>
          <w:p>
            <w:pPr>
              <w:widowControl/>
              <w:spacing w:line="300" w:lineRule="exact"/>
              <w:rPr>
                <w:rFonts w:ascii="Times New Roman" w:hAnsi="Times New Roman" w:eastAsia="方正仿宋简体" w:cs="Times New Roman"/>
                <w:sz w:val="24"/>
                <w:szCs w:val="24"/>
              </w:rPr>
            </w:pPr>
            <w:r>
              <w:rPr>
                <w:rFonts w:ascii="Times New Roman" w:hAnsi="Times New Roman" w:eastAsia="方正仿宋简体" w:cs="Times New Roman"/>
                <w:sz w:val="24"/>
                <w:szCs w:val="24"/>
              </w:rPr>
              <w:t>已完成快检总数6151批次，不合格6批次，合格率为99.90%。共处理不合格食品42.508公斤。其中蔬菜5656批次，不合格6批次，合格率为99.89%；水产品342批次，不合格0批次，合格率为100%；畜禽肉蛋类153批次，不合格0批次，合格率为100%。</w:t>
            </w:r>
          </w:p>
        </w:tc>
        <w:tc>
          <w:tcPr>
            <w:tcW w:w="793" w:type="dxa"/>
            <w:shd w:val="clear" w:color="auto" w:fill="FFFFFF"/>
            <w:vAlign w:val="center"/>
          </w:tcPr>
          <w:p>
            <w:pPr>
              <w:widowControl/>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28%</w:t>
            </w:r>
          </w:p>
        </w:tc>
        <w:tc>
          <w:tcPr>
            <w:tcW w:w="3436" w:type="dxa"/>
            <w:shd w:val="clear" w:color="auto" w:fill="FFFFFF"/>
            <w:vAlign w:val="center"/>
          </w:tcPr>
          <w:p>
            <w:pPr>
              <w:widowControl/>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无</w:t>
            </w:r>
          </w:p>
        </w:tc>
        <w:tc>
          <w:tcPr>
            <w:tcW w:w="2433" w:type="dxa"/>
            <w:shd w:val="clear" w:color="auto" w:fill="FFFFFF"/>
            <w:vAlign w:val="center"/>
          </w:tcPr>
          <w:p>
            <w:pPr>
              <w:widowControl/>
              <w:spacing w:line="300" w:lineRule="exact"/>
              <w:rPr>
                <w:rFonts w:ascii="Times New Roman" w:hAnsi="Times New Roman" w:eastAsia="方正仿宋简体" w:cs="Times New Roman"/>
                <w:sz w:val="24"/>
                <w:szCs w:val="24"/>
              </w:rPr>
            </w:pPr>
            <w:r>
              <w:rPr>
                <w:rFonts w:ascii="Times New Roman" w:hAnsi="Times New Roman" w:eastAsia="方正仿宋简体" w:cs="Times New Roman"/>
                <w:sz w:val="24"/>
                <w:szCs w:val="24"/>
              </w:rPr>
              <w:t>按照2024年快速检测方案继续有序开展食用农产品快检工作。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1" w:hRule="atLeast"/>
          <w:jc w:val="center"/>
        </w:trPr>
        <w:tc>
          <w:tcPr>
            <w:tcW w:w="1232" w:type="dxa"/>
            <w:shd w:val="clear" w:color="auto" w:fill="FFFFFF"/>
            <w:vAlign w:val="center"/>
          </w:tcPr>
          <w:p>
            <w:pPr>
              <w:autoSpaceDN w:val="0"/>
              <w:spacing w:line="300" w:lineRule="exact"/>
              <w:textAlignment w:val="center"/>
              <w:rPr>
                <w:rFonts w:ascii="Times New Roman" w:hAnsi="Times New Roman" w:eastAsia="方正仿宋简体" w:cs="Times New Roman"/>
                <w:b/>
                <w:sz w:val="24"/>
                <w:szCs w:val="24"/>
              </w:rPr>
            </w:pPr>
            <w:r>
              <w:rPr>
                <w:rFonts w:ascii="Times New Roman" w:hAnsi="Times New Roman" w:eastAsia="方正仿宋简体" w:cs="Times New Roman"/>
                <w:b/>
                <w:sz w:val="24"/>
                <w:szCs w:val="24"/>
              </w:rPr>
              <w:t>六、开展“救在身边”救护工作</w:t>
            </w:r>
          </w:p>
        </w:tc>
        <w:tc>
          <w:tcPr>
            <w:tcW w:w="1001"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李南轼</w:t>
            </w:r>
          </w:p>
        </w:tc>
        <w:tc>
          <w:tcPr>
            <w:tcW w:w="838" w:type="dxa"/>
            <w:shd w:val="clear" w:color="auto" w:fill="FFFFFF"/>
            <w:vAlign w:val="center"/>
          </w:tcPr>
          <w:p>
            <w:pPr>
              <w:autoSpaceDN w:val="0"/>
              <w:spacing w:line="300" w:lineRule="exact"/>
              <w:jc w:val="center"/>
              <w:textAlignment w:val="center"/>
              <w:rPr>
                <w:rFonts w:ascii="Times New Roman" w:hAnsi="Times New Roman" w:eastAsia="方正仿宋简体" w:cs="Times New Roman"/>
                <w:color w:val="000000"/>
                <w:sz w:val="24"/>
                <w:szCs w:val="24"/>
              </w:rPr>
            </w:pPr>
            <w:r>
              <w:rPr>
                <w:rFonts w:ascii="Times New Roman" w:hAnsi="Times New Roman" w:eastAsia="方正仿宋简体" w:cs="Times New Roman"/>
                <w:sz w:val="24"/>
                <w:szCs w:val="24"/>
              </w:rPr>
              <w:t>区红十字会</w:t>
            </w:r>
          </w:p>
        </w:tc>
        <w:tc>
          <w:tcPr>
            <w:tcW w:w="0" w:type="auto"/>
            <w:shd w:val="clear" w:color="auto" w:fill="FFFFFF"/>
            <w:vAlign w:val="center"/>
          </w:tcPr>
          <w:p>
            <w:pPr>
              <w:autoSpaceDN w:val="0"/>
              <w:spacing w:line="300" w:lineRule="exact"/>
              <w:jc w:val="center"/>
              <w:textAlignment w:val="center"/>
              <w:rPr>
                <w:rFonts w:ascii="Times New Roman" w:hAnsi="Times New Roman" w:eastAsia="方正仿宋简体" w:cs="Times New Roman"/>
                <w:color w:val="000000"/>
                <w:sz w:val="24"/>
                <w:szCs w:val="24"/>
              </w:rPr>
            </w:pPr>
            <w:r>
              <w:rPr>
                <w:rFonts w:ascii="Times New Roman" w:hAnsi="Times New Roman" w:eastAsia="方正仿宋简体" w:cs="Times New Roman"/>
                <w:sz w:val="24"/>
                <w:szCs w:val="24"/>
              </w:rPr>
              <w:t>区财政局、区金锋集团公司、各镇政府</w:t>
            </w:r>
          </w:p>
        </w:tc>
        <w:tc>
          <w:tcPr>
            <w:tcW w:w="2182"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14.加强基层应急救护阵地建设，建设镇应急救护安全教学点11个，在东平镇珍珠湾旅游区建设红十字救护站，在我区公共区域增加5台AED。实施应急救护师资领航计划，举办一期基层红十字会应急救护师资培训班，培训持证救护师资20人。开展应急救护培训和普及工作，培训持证救护员2000人，普及应急救护知识不低于10000人次。</w:t>
            </w:r>
          </w:p>
        </w:tc>
        <w:tc>
          <w:tcPr>
            <w:tcW w:w="2551"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（1）已开展6期应急救护公益培训班，共培养239名考核合格的持证救护员，其中区直单位开展了3期培训班，已培养了104名救护员。</w:t>
            </w:r>
          </w:p>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（2）已与金锋集团协商好阳东区东平镇珍珠湾旅游区红十字救护站选址事宜，并与市红十字会现场调研落实救护站建设工作。</w:t>
            </w:r>
          </w:p>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（3）委托市红十字会采购2024年应急救护工程项目部分设备，拟计划将第一批设备投放到塘坪镇、东城镇、东平镇等三个应急救护教学点和红十字救护站。</w:t>
            </w:r>
          </w:p>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（4）派出10名热爱红十字事业、符合条件的学员，参加阳江市红十字会举办的2024年第一期应急救护师资培训班。</w:t>
            </w:r>
          </w:p>
        </w:tc>
        <w:tc>
          <w:tcPr>
            <w:tcW w:w="793" w:type="dxa"/>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20%</w:t>
            </w:r>
          </w:p>
        </w:tc>
        <w:tc>
          <w:tcPr>
            <w:tcW w:w="3436" w:type="dxa"/>
            <w:shd w:val="clear" w:color="auto" w:fill="FFFFFF"/>
            <w:vAlign w:val="center"/>
          </w:tcPr>
          <w:p>
            <w:pPr>
              <w:autoSpaceDN w:val="0"/>
              <w:spacing w:line="300" w:lineRule="exact"/>
              <w:jc w:val="left"/>
              <w:textAlignment w:val="center"/>
              <w:rPr>
                <w:rFonts w:ascii="Times New Roman" w:hAnsi="Times New Roman" w:eastAsia="方正仿宋简体" w:cs="Times New Roman"/>
                <w:color w:val="000000"/>
                <w:sz w:val="24"/>
                <w:szCs w:val="24"/>
              </w:rPr>
            </w:pPr>
            <w:r>
              <w:rPr>
                <w:rFonts w:ascii="Times New Roman" w:hAnsi="Times New Roman" w:eastAsia="方正仿宋简体" w:cs="Times New Roman"/>
                <w:color w:val="000000"/>
                <w:sz w:val="24"/>
                <w:szCs w:val="24"/>
              </w:rPr>
              <w:t>区财政和上级红会资金未下达，工作无法顺利开展。</w:t>
            </w:r>
          </w:p>
        </w:tc>
        <w:tc>
          <w:tcPr>
            <w:tcW w:w="2433" w:type="dxa"/>
            <w:shd w:val="clear" w:color="auto" w:fill="FFFFFF"/>
            <w:vAlign w:val="center"/>
          </w:tcPr>
          <w:p>
            <w:pPr>
              <w:autoSpaceDN w:val="0"/>
              <w:spacing w:line="300" w:lineRule="exact"/>
              <w:jc w:val="left"/>
              <w:textAlignment w:val="center"/>
              <w:rPr>
                <w:rFonts w:ascii="Times New Roman" w:hAnsi="Times New Roman" w:eastAsia="方正仿宋简体" w:cs="Times New Roman"/>
                <w:color w:val="000000"/>
                <w:sz w:val="24"/>
                <w:szCs w:val="24"/>
              </w:rPr>
            </w:pPr>
            <w:r>
              <w:rPr>
                <w:rFonts w:ascii="Times New Roman" w:hAnsi="Times New Roman" w:eastAsia="方正仿宋简体" w:cs="Times New Roman"/>
                <w:color w:val="000000"/>
                <w:sz w:val="24"/>
                <w:szCs w:val="24"/>
              </w:rPr>
              <w:t>（1）联系各镇建设镇应急救护安全教学点，并在每个应急救护安全教学点配置应急救护培训设备。</w:t>
            </w:r>
          </w:p>
          <w:p>
            <w:pPr>
              <w:autoSpaceDN w:val="0"/>
              <w:spacing w:line="300" w:lineRule="exact"/>
              <w:jc w:val="left"/>
              <w:textAlignment w:val="center"/>
              <w:rPr>
                <w:rFonts w:ascii="Times New Roman" w:hAnsi="Times New Roman" w:eastAsia="方正仿宋简体" w:cs="Times New Roman"/>
                <w:color w:val="000000"/>
                <w:sz w:val="24"/>
                <w:szCs w:val="24"/>
              </w:rPr>
            </w:pPr>
            <w:r>
              <w:rPr>
                <w:rFonts w:ascii="Times New Roman" w:hAnsi="Times New Roman" w:eastAsia="方正仿宋简体" w:cs="Times New Roman"/>
                <w:color w:val="000000"/>
                <w:sz w:val="24"/>
                <w:szCs w:val="24"/>
              </w:rPr>
              <w:t>（2）继续在区直单位开展应急救护公益培训班，同时计划在教育系统、企业等开展应急救护公益培训班，培养更多持证救护员。</w:t>
            </w:r>
          </w:p>
          <w:p>
            <w:pPr>
              <w:autoSpaceDN w:val="0"/>
              <w:spacing w:line="300" w:lineRule="exact"/>
              <w:jc w:val="left"/>
              <w:textAlignment w:val="center"/>
              <w:rPr>
                <w:rFonts w:ascii="Times New Roman" w:hAnsi="Times New Roman" w:eastAsia="方正仿宋简体" w:cs="Times New Roman"/>
                <w:color w:val="000000"/>
                <w:sz w:val="24"/>
                <w:szCs w:val="24"/>
              </w:rPr>
            </w:pPr>
            <w:r>
              <w:rPr>
                <w:rFonts w:ascii="Times New Roman" w:hAnsi="Times New Roman" w:eastAsia="方正仿宋简体" w:cs="Times New Roman"/>
                <w:color w:val="000000"/>
                <w:sz w:val="24"/>
                <w:szCs w:val="24"/>
              </w:rPr>
              <w:t>（3）结合各重要时间节点，到社区、乡村开展应急救护宣讲活动。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2" w:hRule="atLeast"/>
          <w:jc w:val="center"/>
        </w:trPr>
        <w:tc>
          <w:tcPr>
            <w:tcW w:w="1232" w:type="dxa"/>
            <w:vMerge w:val="restart"/>
            <w:shd w:val="clear" w:color="auto" w:fill="FFFFFF"/>
            <w:vAlign w:val="center"/>
          </w:tcPr>
          <w:p>
            <w:pPr>
              <w:autoSpaceDN w:val="0"/>
              <w:spacing w:line="300" w:lineRule="exact"/>
              <w:textAlignment w:val="center"/>
              <w:rPr>
                <w:rFonts w:ascii="Times New Roman" w:hAnsi="Times New Roman" w:eastAsia="方正仿宋简体" w:cs="Times New Roman"/>
                <w:b/>
                <w:sz w:val="24"/>
                <w:szCs w:val="24"/>
              </w:rPr>
            </w:pPr>
            <w:r>
              <w:rPr>
                <w:rFonts w:ascii="Times New Roman" w:hAnsi="Times New Roman" w:eastAsia="方正仿宋简体" w:cs="Times New Roman"/>
                <w:b/>
                <w:sz w:val="24"/>
                <w:szCs w:val="24"/>
              </w:rPr>
              <w:t>七、推进镇村人居环境整治</w:t>
            </w:r>
          </w:p>
        </w:tc>
        <w:tc>
          <w:tcPr>
            <w:tcW w:w="1001"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关芬宇</w:t>
            </w:r>
          </w:p>
        </w:tc>
        <w:tc>
          <w:tcPr>
            <w:tcW w:w="838" w:type="dxa"/>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区农业农村局</w:t>
            </w:r>
          </w:p>
        </w:tc>
        <w:tc>
          <w:tcPr>
            <w:tcW w:w="0" w:type="auto"/>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有关镇政府</w:t>
            </w:r>
          </w:p>
        </w:tc>
        <w:tc>
          <w:tcPr>
            <w:tcW w:w="2182" w:type="dxa"/>
            <w:shd w:val="clear" w:color="auto" w:fill="FFFFFF"/>
            <w:vAlign w:val="center"/>
          </w:tcPr>
          <w:p>
            <w:pPr>
              <w:adjustRightInd w:val="0"/>
              <w:snapToGrid w:val="0"/>
              <w:spacing w:line="300" w:lineRule="exact"/>
              <w:rPr>
                <w:rFonts w:ascii="Times New Roman" w:hAnsi="Times New Roman" w:eastAsia="方正仿宋简体" w:cs="Times New Roman"/>
                <w:sz w:val="24"/>
                <w:szCs w:val="24"/>
              </w:rPr>
            </w:pPr>
            <w:r>
              <w:rPr>
                <w:rFonts w:ascii="Times New Roman" w:hAnsi="Times New Roman" w:eastAsia="方正仿宋简体" w:cs="Times New Roman"/>
                <w:sz w:val="24"/>
                <w:szCs w:val="24"/>
              </w:rPr>
              <w:t>15.完成50条村生活污水治理工程，提高农村生活污水治理率。</w:t>
            </w:r>
          </w:p>
        </w:tc>
        <w:tc>
          <w:tcPr>
            <w:tcW w:w="2551" w:type="dxa"/>
            <w:shd w:val="clear" w:color="auto" w:fill="FFFFFF"/>
            <w:vAlign w:val="center"/>
          </w:tcPr>
          <w:p>
            <w:pPr>
              <w:widowControl/>
              <w:spacing w:line="300" w:lineRule="exact"/>
              <w:jc w:val="left"/>
              <w:rPr>
                <w:rFonts w:ascii="Times New Roman" w:hAnsi="Times New Roman" w:eastAsia="方正仿宋简体" w:cs="Times New Roman"/>
                <w:sz w:val="24"/>
                <w:szCs w:val="24"/>
              </w:rPr>
            </w:pPr>
            <w:r>
              <w:rPr>
                <w:rFonts w:ascii="Times New Roman" w:hAnsi="Times New Roman" w:eastAsia="方正仿宋简体" w:cs="Times New Roman"/>
                <w:sz w:val="24"/>
                <w:szCs w:val="24"/>
              </w:rPr>
              <w:t>已完成项目实施方案、可研报告、项目建议书，正在区发改局立项。</w:t>
            </w:r>
          </w:p>
        </w:tc>
        <w:tc>
          <w:tcPr>
            <w:tcW w:w="793" w:type="dxa"/>
            <w:shd w:val="clear" w:color="auto" w:fill="FFFFFF"/>
            <w:vAlign w:val="center"/>
          </w:tcPr>
          <w:p>
            <w:pPr>
              <w:widowControl/>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20%</w:t>
            </w:r>
          </w:p>
        </w:tc>
        <w:tc>
          <w:tcPr>
            <w:tcW w:w="3436" w:type="dxa"/>
            <w:shd w:val="clear" w:color="auto" w:fill="FFFFFF"/>
            <w:vAlign w:val="center"/>
          </w:tcPr>
          <w:p>
            <w:pPr>
              <w:widowControl/>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无</w:t>
            </w:r>
          </w:p>
        </w:tc>
        <w:tc>
          <w:tcPr>
            <w:tcW w:w="2433" w:type="dxa"/>
            <w:shd w:val="clear" w:color="auto" w:fill="FFFFFF"/>
            <w:vAlign w:val="center"/>
          </w:tcPr>
          <w:p>
            <w:pPr>
              <w:widowControl/>
              <w:spacing w:line="300" w:lineRule="exact"/>
              <w:rPr>
                <w:rFonts w:ascii="Times New Roman" w:hAnsi="Times New Roman" w:eastAsia="方正仿宋简体" w:cs="Times New Roman"/>
                <w:sz w:val="24"/>
                <w:szCs w:val="24"/>
              </w:rPr>
            </w:pPr>
            <w:r>
              <w:rPr>
                <w:rFonts w:ascii="Times New Roman" w:hAnsi="Times New Roman" w:eastAsia="方正仿宋简体" w:cs="Times New Roman"/>
                <w:sz w:val="24"/>
                <w:szCs w:val="24"/>
              </w:rPr>
              <w:t>计划在4月份进行初步设计招投标，5月份进行项目施工招投标。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6" w:hRule="atLeast"/>
          <w:jc w:val="center"/>
        </w:trPr>
        <w:tc>
          <w:tcPr>
            <w:tcW w:w="1232" w:type="dxa"/>
            <w:vMerge w:val="continue"/>
            <w:shd w:val="clear" w:color="auto" w:fill="FFFFFF"/>
            <w:vAlign w:val="center"/>
          </w:tcPr>
          <w:p>
            <w:pPr>
              <w:autoSpaceDN w:val="0"/>
              <w:spacing w:line="300" w:lineRule="exact"/>
              <w:textAlignment w:val="center"/>
              <w:rPr>
                <w:rFonts w:ascii="Times New Roman" w:hAnsi="Times New Roman" w:eastAsia="方正仿宋简体" w:cs="Times New Roman"/>
                <w:b/>
                <w:sz w:val="24"/>
                <w:szCs w:val="24"/>
              </w:rPr>
            </w:pPr>
          </w:p>
        </w:tc>
        <w:tc>
          <w:tcPr>
            <w:tcW w:w="1001" w:type="dxa"/>
            <w:vMerge w:val="restart"/>
            <w:shd w:val="clear" w:color="auto" w:fill="FFFFFF"/>
            <w:vAlign w:val="center"/>
          </w:tcPr>
          <w:p>
            <w:pPr>
              <w:adjustRightInd w:val="0"/>
              <w:snapToGrid w:val="0"/>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利如晁</w:t>
            </w:r>
          </w:p>
        </w:tc>
        <w:tc>
          <w:tcPr>
            <w:tcW w:w="838" w:type="dxa"/>
            <w:vMerge w:val="restart"/>
            <w:shd w:val="clear" w:color="auto" w:fill="FFFFFF"/>
            <w:vAlign w:val="center"/>
          </w:tcPr>
          <w:p>
            <w:pPr>
              <w:adjustRightInd w:val="0"/>
              <w:snapToGrid w:val="0"/>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区住房和城乡建设局</w:t>
            </w:r>
          </w:p>
        </w:tc>
        <w:tc>
          <w:tcPr>
            <w:tcW w:w="0" w:type="auto"/>
            <w:vMerge w:val="restart"/>
            <w:shd w:val="clear" w:color="auto" w:fill="FFFFFF"/>
            <w:vAlign w:val="center"/>
          </w:tcPr>
          <w:p>
            <w:pPr>
              <w:adjustRightInd w:val="0"/>
              <w:snapToGrid w:val="0"/>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区财政局</w:t>
            </w:r>
            <w:r>
              <w:rPr>
                <w:rFonts w:hint="eastAsia" w:ascii="Times New Roman" w:hAnsi="Times New Roman" w:eastAsia="方正仿宋简体" w:cs="Times New Roman"/>
                <w:sz w:val="24"/>
                <w:szCs w:val="24"/>
              </w:rPr>
              <w:t>、</w:t>
            </w:r>
          </w:p>
          <w:p>
            <w:pPr>
              <w:adjustRightInd w:val="0"/>
              <w:snapToGrid w:val="0"/>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市自然资源局阳东分局</w:t>
            </w:r>
            <w:r>
              <w:rPr>
                <w:rFonts w:hint="eastAsia" w:ascii="Times New Roman" w:hAnsi="Times New Roman" w:eastAsia="方正仿宋简体" w:cs="Times New Roman"/>
                <w:sz w:val="24"/>
                <w:szCs w:val="24"/>
              </w:rPr>
              <w:t>、</w:t>
            </w:r>
          </w:p>
          <w:p>
            <w:pPr>
              <w:adjustRightInd w:val="0"/>
              <w:snapToGrid w:val="0"/>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区土储中心</w:t>
            </w:r>
            <w:r>
              <w:rPr>
                <w:rFonts w:hint="eastAsia" w:ascii="Times New Roman" w:hAnsi="Times New Roman" w:eastAsia="方正仿宋简体" w:cs="Times New Roman"/>
                <w:sz w:val="24"/>
                <w:szCs w:val="24"/>
              </w:rPr>
              <w:t>、</w:t>
            </w:r>
          </w:p>
          <w:p>
            <w:pPr>
              <w:adjustRightInd w:val="0"/>
              <w:snapToGrid w:val="0"/>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有关镇政府</w:t>
            </w:r>
          </w:p>
        </w:tc>
        <w:tc>
          <w:tcPr>
            <w:tcW w:w="2182" w:type="dxa"/>
            <w:shd w:val="clear" w:color="auto" w:fill="FFFFFF"/>
            <w:vAlign w:val="center"/>
          </w:tcPr>
          <w:p>
            <w:pPr>
              <w:adjustRightInd w:val="0"/>
              <w:snapToGrid w:val="0"/>
              <w:spacing w:line="300" w:lineRule="exact"/>
              <w:rPr>
                <w:rFonts w:ascii="Times New Roman" w:hAnsi="Times New Roman" w:eastAsia="方正仿宋简体" w:cs="Times New Roman"/>
                <w:sz w:val="24"/>
                <w:szCs w:val="24"/>
              </w:rPr>
            </w:pPr>
            <w:r>
              <w:rPr>
                <w:rFonts w:ascii="Times New Roman" w:hAnsi="Times New Roman" w:eastAsia="方正仿宋简体" w:cs="Times New Roman"/>
                <w:sz w:val="24"/>
                <w:szCs w:val="24"/>
              </w:rPr>
              <w:t>16.动工建设新洲、大沟、雅韶、那龙、塘坪等镇污水处理厂。</w:t>
            </w:r>
          </w:p>
        </w:tc>
        <w:tc>
          <w:tcPr>
            <w:tcW w:w="2551" w:type="dxa"/>
            <w:shd w:val="clear" w:color="auto" w:fill="FFFFFF"/>
            <w:vAlign w:val="center"/>
          </w:tcPr>
          <w:p>
            <w:pPr>
              <w:spacing w:line="300" w:lineRule="exact"/>
              <w:rPr>
                <w:rFonts w:ascii="Times New Roman" w:hAnsi="Times New Roman" w:eastAsia="方正仿宋简体" w:cs="Times New Roman"/>
                <w:sz w:val="24"/>
                <w:szCs w:val="24"/>
              </w:rPr>
            </w:pPr>
            <w:r>
              <w:rPr>
                <w:rFonts w:ascii="Times New Roman" w:hAnsi="Times New Roman" w:eastAsia="方正仿宋简体" w:cs="Times New Roman"/>
                <w:sz w:val="24"/>
                <w:szCs w:val="24"/>
              </w:rPr>
              <w:t>大沟镇、新洲镇污水处理厂目前已开工建设，雅韶镇、那龙镇、塘坪镇正在办理用地报批手续。</w:t>
            </w:r>
          </w:p>
        </w:tc>
        <w:tc>
          <w:tcPr>
            <w:tcW w:w="793" w:type="dxa"/>
            <w:shd w:val="clear" w:color="auto" w:fill="FFFFFF"/>
            <w:vAlign w:val="center"/>
          </w:tcPr>
          <w:p>
            <w:pPr>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20%</w:t>
            </w:r>
          </w:p>
        </w:tc>
        <w:tc>
          <w:tcPr>
            <w:tcW w:w="3436" w:type="dxa"/>
            <w:shd w:val="clear" w:color="auto" w:fill="FFFFFF"/>
            <w:vAlign w:val="center"/>
          </w:tcPr>
          <w:p>
            <w:pPr>
              <w:spacing w:line="300" w:lineRule="exact"/>
              <w:rPr>
                <w:rFonts w:ascii="Times New Roman" w:hAnsi="Times New Roman" w:eastAsia="方正仿宋简体" w:cs="Times New Roman"/>
                <w:sz w:val="24"/>
                <w:szCs w:val="24"/>
              </w:rPr>
            </w:pPr>
            <w:r>
              <w:rPr>
                <w:rFonts w:ascii="Times New Roman" w:hAnsi="Times New Roman" w:eastAsia="方正仿宋简体" w:cs="Times New Roman"/>
                <w:sz w:val="24"/>
                <w:szCs w:val="24"/>
              </w:rPr>
              <w:t>雅韶镇、那龙镇、塘坪镇尚未完成用地报批手续。</w:t>
            </w:r>
          </w:p>
        </w:tc>
        <w:tc>
          <w:tcPr>
            <w:tcW w:w="2433" w:type="dxa"/>
            <w:shd w:val="clear" w:color="auto" w:fill="FFFFFF"/>
            <w:vAlign w:val="center"/>
          </w:tcPr>
          <w:p>
            <w:pPr>
              <w:spacing w:line="300" w:lineRule="exact"/>
              <w:rPr>
                <w:rFonts w:ascii="Times New Roman" w:hAnsi="Times New Roman" w:eastAsia="方正仿宋简体" w:cs="Times New Roman"/>
                <w:sz w:val="24"/>
                <w:szCs w:val="24"/>
              </w:rPr>
            </w:pPr>
            <w:r>
              <w:rPr>
                <w:rFonts w:ascii="Times New Roman" w:hAnsi="Times New Roman" w:eastAsia="方正仿宋简体" w:cs="Times New Roman"/>
                <w:sz w:val="24"/>
                <w:szCs w:val="24"/>
              </w:rPr>
              <w:t>加快完成雅韶镇、那龙镇、塘坪镇用地报批手续。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6" w:hRule="atLeast"/>
          <w:jc w:val="center"/>
        </w:trPr>
        <w:tc>
          <w:tcPr>
            <w:tcW w:w="1232" w:type="dxa"/>
            <w:vMerge w:val="continue"/>
            <w:shd w:val="clear" w:color="auto" w:fill="FFFFFF"/>
            <w:vAlign w:val="center"/>
          </w:tcPr>
          <w:p>
            <w:pPr>
              <w:autoSpaceDN w:val="0"/>
              <w:spacing w:line="300" w:lineRule="exact"/>
              <w:textAlignment w:val="center"/>
              <w:rPr>
                <w:rFonts w:ascii="Times New Roman" w:hAnsi="Times New Roman" w:eastAsia="方正仿宋简体" w:cs="Times New Roman"/>
                <w:b/>
                <w:sz w:val="24"/>
                <w:szCs w:val="24"/>
              </w:rPr>
            </w:pPr>
          </w:p>
        </w:tc>
        <w:tc>
          <w:tcPr>
            <w:tcW w:w="1001" w:type="dxa"/>
            <w:vMerge w:val="continue"/>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p>
        </w:tc>
        <w:tc>
          <w:tcPr>
            <w:tcW w:w="838" w:type="dxa"/>
            <w:vMerge w:val="continue"/>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p>
        </w:tc>
        <w:tc>
          <w:tcPr>
            <w:tcW w:w="0" w:type="auto"/>
            <w:vMerge w:val="continue"/>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p>
        </w:tc>
        <w:tc>
          <w:tcPr>
            <w:tcW w:w="2182" w:type="dxa"/>
            <w:shd w:val="clear" w:color="auto" w:fill="FFFFFF"/>
            <w:vAlign w:val="center"/>
          </w:tcPr>
          <w:p>
            <w:pPr>
              <w:adjustRightInd w:val="0"/>
              <w:snapToGrid w:val="0"/>
              <w:spacing w:line="300" w:lineRule="exact"/>
              <w:rPr>
                <w:rFonts w:ascii="Times New Roman" w:hAnsi="Times New Roman" w:eastAsia="方正仿宋简体" w:cs="Times New Roman"/>
                <w:sz w:val="24"/>
                <w:szCs w:val="24"/>
              </w:rPr>
            </w:pPr>
            <w:r>
              <w:rPr>
                <w:rFonts w:ascii="Times New Roman" w:hAnsi="Times New Roman" w:eastAsia="方正仿宋简体" w:cs="Times New Roman"/>
                <w:sz w:val="24"/>
                <w:szCs w:val="24"/>
              </w:rPr>
              <w:t>17.动工建设雅韶、大沟、新洲、那龙、塘坪等5个镇垃圾中转站，加大农村垃圾“日产日清”的力度。</w:t>
            </w:r>
          </w:p>
        </w:tc>
        <w:tc>
          <w:tcPr>
            <w:tcW w:w="2551" w:type="dxa"/>
            <w:shd w:val="clear" w:color="auto" w:fill="FFFFFF"/>
            <w:vAlign w:val="center"/>
          </w:tcPr>
          <w:p>
            <w:pPr>
              <w:spacing w:line="300" w:lineRule="exact"/>
              <w:rPr>
                <w:rFonts w:ascii="Times New Roman" w:hAnsi="Times New Roman" w:eastAsia="方正仿宋简体" w:cs="Times New Roman"/>
                <w:sz w:val="24"/>
                <w:szCs w:val="24"/>
              </w:rPr>
            </w:pPr>
            <w:r>
              <w:rPr>
                <w:rFonts w:ascii="Times New Roman" w:hAnsi="Times New Roman" w:eastAsia="方正仿宋简体" w:cs="Times New Roman"/>
                <w:sz w:val="24"/>
                <w:szCs w:val="24"/>
              </w:rPr>
              <w:t>雅韶、大沟、新洲、那龙、塘坪镇垃圾中转站目前已完成概算审核，正在筹备招标工作；雅韶、大沟、新洲、那龙镇垃圾中转站已完成用地报批手续，塘坪镇垃圾中转站正在办理用地报批手续。已督促运营公司增加车辆，及时清运垃圾，杜绝发生垃圾转运落地情况。</w:t>
            </w:r>
          </w:p>
        </w:tc>
        <w:tc>
          <w:tcPr>
            <w:tcW w:w="793" w:type="dxa"/>
            <w:shd w:val="clear" w:color="auto" w:fill="FFFFFF"/>
            <w:vAlign w:val="center"/>
          </w:tcPr>
          <w:p>
            <w:pPr>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21%</w:t>
            </w:r>
          </w:p>
        </w:tc>
        <w:tc>
          <w:tcPr>
            <w:tcW w:w="3436" w:type="dxa"/>
            <w:shd w:val="clear" w:color="auto" w:fill="FFFFFF"/>
            <w:vAlign w:val="center"/>
          </w:tcPr>
          <w:p>
            <w:pPr>
              <w:spacing w:line="300" w:lineRule="exact"/>
              <w:rPr>
                <w:rFonts w:ascii="Times New Roman" w:hAnsi="Times New Roman" w:eastAsia="方正仿宋简体" w:cs="Times New Roman"/>
                <w:sz w:val="24"/>
                <w:szCs w:val="24"/>
              </w:rPr>
            </w:pPr>
            <w:r>
              <w:rPr>
                <w:rFonts w:ascii="Times New Roman" w:hAnsi="Times New Roman" w:eastAsia="方正仿宋简体" w:cs="Times New Roman"/>
                <w:sz w:val="24"/>
                <w:szCs w:val="24"/>
              </w:rPr>
              <w:t>塘坪镇尚未完成用地报批手续。</w:t>
            </w:r>
          </w:p>
        </w:tc>
        <w:tc>
          <w:tcPr>
            <w:tcW w:w="2433" w:type="dxa"/>
            <w:shd w:val="clear" w:color="auto" w:fill="FFFFFF"/>
            <w:vAlign w:val="center"/>
          </w:tcPr>
          <w:p>
            <w:pPr>
              <w:spacing w:line="300" w:lineRule="exact"/>
              <w:rPr>
                <w:rFonts w:ascii="Times New Roman" w:hAnsi="Times New Roman" w:eastAsia="方正仿宋简体" w:cs="Times New Roman"/>
                <w:sz w:val="24"/>
                <w:szCs w:val="24"/>
              </w:rPr>
            </w:pPr>
            <w:r>
              <w:rPr>
                <w:rFonts w:ascii="Times New Roman" w:hAnsi="Times New Roman" w:eastAsia="方正仿宋简体" w:cs="Times New Roman"/>
                <w:sz w:val="24"/>
                <w:szCs w:val="24"/>
              </w:rPr>
              <w:t>加快推进招标工作。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1232" w:type="dxa"/>
            <w:vMerge w:val="restart"/>
            <w:shd w:val="clear" w:color="auto" w:fill="FFFFFF"/>
            <w:vAlign w:val="center"/>
          </w:tcPr>
          <w:p>
            <w:pPr>
              <w:autoSpaceDN w:val="0"/>
              <w:spacing w:line="300" w:lineRule="exact"/>
              <w:textAlignment w:val="center"/>
              <w:rPr>
                <w:rFonts w:ascii="Times New Roman" w:hAnsi="Times New Roman" w:eastAsia="方正仿宋简体" w:cs="Times New Roman"/>
                <w:b/>
                <w:sz w:val="24"/>
                <w:szCs w:val="24"/>
              </w:rPr>
            </w:pPr>
            <w:r>
              <w:rPr>
                <w:rFonts w:ascii="Times New Roman" w:hAnsi="Times New Roman" w:eastAsia="方正仿宋简体" w:cs="Times New Roman"/>
                <w:b/>
                <w:sz w:val="24"/>
                <w:szCs w:val="24"/>
              </w:rPr>
              <w:t>八、优化交通基础设施建设</w:t>
            </w:r>
          </w:p>
        </w:tc>
        <w:tc>
          <w:tcPr>
            <w:tcW w:w="1001" w:type="dxa"/>
            <w:vMerge w:val="restart"/>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利如晁</w:t>
            </w:r>
          </w:p>
        </w:tc>
        <w:tc>
          <w:tcPr>
            <w:tcW w:w="838" w:type="dxa"/>
            <w:vMerge w:val="restart"/>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区交通运输局</w:t>
            </w:r>
          </w:p>
        </w:tc>
        <w:tc>
          <w:tcPr>
            <w:tcW w:w="0" w:type="auto"/>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有关镇政府</w:t>
            </w:r>
          </w:p>
        </w:tc>
        <w:tc>
          <w:tcPr>
            <w:tcW w:w="2182" w:type="dxa"/>
            <w:shd w:val="clear" w:color="auto" w:fill="FFFFFF"/>
            <w:vAlign w:val="center"/>
          </w:tcPr>
          <w:p>
            <w:pPr>
              <w:spacing w:line="300" w:lineRule="exact"/>
              <w:rPr>
                <w:rFonts w:ascii="Times New Roman" w:hAnsi="Times New Roman" w:eastAsia="方正仿宋简体" w:cs="Times New Roman"/>
                <w:sz w:val="24"/>
                <w:szCs w:val="24"/>
              </w:rPr>
            </w:pPr>
            <w:r>
              <w:rPr>
                <w:rFonts w:ascii="Times New Roman" w:hAnsi="Times New Roman" w:eastAsia="方正仿宋简体" w:cs="Times New Roman"/>
                <w:sz w:val="24"/>
                <w:szCs w:val="24"/>
              </w:rPr>
              <w:t>18.完成60公里村道安防工程。</w:t>
            </w:r>
          </w:p>
        </w:tc>
        <w:tc>
          <w:tcPr>
            <w:tcW w:w="2551"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正在进行设计，预计10月底完成。</w:t>
            </w:r>
          </w:p>
        </w:tc>
        <w:tc>
          <w:tcPr>
            <w:tcW w:w="793" w:type="dxa"/>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15%</w:t>
            </w:r>
          </w:p>
        </w:tc>
        <w:tc>
          <w:tcPr>
            <w:tcW w:w="3436"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需区财政配套资金120万元。</w:t>
            </w:r>
          </w:p>
        </w:tc>
        <w:tc>
          <w:tcPr>
            <w:tcW w:w="2433"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继续加快推进项目建设。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4" w:hRule="atLeast"/>
          <w:jc w:val="center"/>
        </w:trPr>
        <w:tc>
          <w:tcPr>
            <w:tcW w:w="1232" w:type="dxa"/>
            <w:vMerge w:val="continue"/>
            <w:shd w:val="clear" w:color="auto" w:fill="FFFFFF"/>
            <w:vAlign w:val="center"/>
          </w:tcPr>
          <w:p>
            <w:pPr>
              <w:autoSpaceDN w:val="0"/>
              <w:spacing w:line="300" w:lineRule="exact"/>
              <w:textAlignment w:val="center"/>
              <w:rPr>
                <w:rFonts w:ascii="Times New Roman" w:hAnsi="Times New Roman" w:eastAsia="方正仿宋简体" w:cs="Times New Roman"/>
                <w:b/>
                <w:sz w:val="24"/>
                <w:szCs w:val="24"/>
              </w:rPr>
            </w:pPr>
          </w:p>
        </w:tc>
        <w:tc>
          <w:tcPr>
            <w:tcW w:w="1001" w:type="dxa"/>
            <w:vMerge w:val="continue"/>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p>
        </w:tc>
        <w:tc>
          <w:tcPr>
            <w:tcW w:w="838" w:type="dxa"/>
            <w:vMerge w:val="continue"/>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p>
        </w:tc>
        <w:tc>
          <w:tcPr>
            <w:tcW w:w="0" w:type="auto"/>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有关镇政府</w:t>
            </w:r>
          </w:p>
        </w:tc>
        <w:tc>
          <w:tcPr>
            <w:tcW w:w="2182"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19.完成60公里农村公路单改双及路网联结工程。</w:t>
            </w:r>
          </w:p>
        </w:tc>
        <w:tc>
          <w:tcPr>
            <w:tcW w:w="2551"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已完成10公里单改双工程，预计11月底完成。</w:t>
            </w:r>
          </w:p>
        </w:tc>
        <w:tc>
          <w:tcPr>
            <w:tcW w:w="793" w:type="dxa"/>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10%</w:t>
            </w:r>
          </w:p>
        </w:tc>
        <w:tc>
          <w:tcPr>
            <w:tcW w:w="3436"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需区财政配套资金约1000万元。</w:t>
            </w:r>
          </w:p>
        </w:tc>
        <w:tc>
          <w:tcPr>
            <w:tcW w:w="2433"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继续加快推进项目建设。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4" w:hRule="atLeast"/>
          <w:jc w:val="center"/>
        </w:trPr>
        <w:tc>
          <w:tcPr>
            <w:tcW w:w="1232" w:type="dxa"/>
            <w:vMerge w:val="continue"/>
            <w:shd w:val="clear" w:color="auto" w:fill="FFFFFF"/>
            <w:vAlign w:val="center"/>
          </w:tcPr>
          <w:p>
            <w:pPr>
              <w:autoSpaceDN w:val="0"/>
              <w:spacing w:line="300" w:lineRule="exact"/>
              <w:textAlignment w:val="center"/>
              <w:rPr>
                <w:rFonts w:ascii="Times New Roman" w:hAnsi="Times New Roman" w:eastAsia="方正仿宋简体" w:cs="Times New Roman"/>
                <w:b/>
                <w:sz w:val="24"/>
                <w:szCs w:val="24"/>
              </w:rPr>
            </w:pPr>
          </w:p>
        </w:tc>
        <w:tc>
          <w:tcPr>
            <w:tcW w:w="1001" w:type="dxa"/>
            <w:vMerge w:val="continue"/>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p>
        </w:tc>
        <w:tc>
          <w:tcPr>
            <w:tcW w:w="838" w:type="dxa"/>
            <w:vMerge w:val="continue"/>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p>
        </w:tc>
        <w:tc>
          <w:tcPr>
            <w:tcW w:w="0" w:type="auto"/>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有关镇政府</w:t>
            </w:r>
          </w:p>
        </w:tc>
        <w:tc>
          <w:tcPr>
            <w:tcW w:w="2182"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20.完成危桥改造工程6座。</w:t>
            </w:r>
          </w:p>
        </w:tc>
        <w:tc>
          <w:tcPr>
            <w:tcW w:w="2551"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6座危桥已完成2座（大四桥、水口村桥），其余4座已完成桩基础建设，预计10月底完成。</w:t>
            </w:r>
          </w:p>
        </w:tc>
        <w:tc>
          <w:tcPr>
            <w:tcW w:w="793" w:type="dxa"/>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30%</w:t>
            </w:r>
          </w:p>
        </w:tc>
        <w:tc>
          <w:tcPr>
            <w:tcW w:w="3436"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需区财政配套资金约300万元。</w:t>
            </w:r>
          </w:p>
        </w:tc>
        <w:tc>
          <w:tcPr>
            <w:tcW w:w="2433"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继续加快推进项目建设。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atLeast"/>
          <w:jc w:val="center"/>
        </w:trPr>
        <w:tc>
          <w:tcPr>
            <w:tcW w:w="1232" w:type="dxa"/>
            <w:vMerge w:val="continue"/>
            <w:shd w:val="clear" w:color="auto" w:fill="FFFFFF"/>
            <w:vAlign w:val="center"/>
          </w:tcPr>
          <w:p>
            <w:pPr>
              <w:autoSpaceDN w:val="0"/>
              <w:spacing w:line="300" w:lineRule="exact"/>
              <w:textAlignment w:val="center"/>
              <w:rPr>
                <w:rFonts w:ascii="Times New Roman" w:hAnsi="Times New Roman" w:eastAsia="方正仿宋简体" w:cs="Times New Roman"/>
                <w:b/>
                <w:sz w:val="24"/>
                <w:szCs w:val="24"/>
              </w:rPr>
            </w:pPr>
          </w:p>
        </w:tc>
        <w:tc>
          <w:tcPr>
            <w:tcW w:w="1001" w:type="dxa"/>
            <w:vMerge w:val="continue"/>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p>
        </w:tc>
        <w:tc>
          <w:tcPr>
            <w:tcW w:w="838" w:type="dxa"/>
            <w:vMerge w:val="continue"/>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p>
        </w:tc>
        <w:tc>
          <w:tcPr>
            <w:tcW w:w="0" w:type="auto"/>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区财政局</w:t>
            </w:r>
            <w:r>
              <w:rPr>
                <w:rFonts w:hint="eastAsia" w:ascii="Times New Roman" w:hAnsi="Times New Roman" w:eastAsia="方正仿宋简体" w:cs="Times New Roman"/>
                <w:sz w:val="24"/>
                <w:szCs w:val="24"/>
              </w:rPr>
              <w:t>、</w:t>
            </w:r>
          </w:p>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各镇政府</w:t>
            </w:r>
          </w:p>
        </w:tc>
        <w:tc>
          <w:tcPr>
            <w:tcW w:w="2182"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21.做好农村道路的管护工作，各镇完成30公里（示范段）管养任务。</w:t>
            </w:r>
          </w:p>
        </w:tc>
        <w:tc>
          <w:tcPr>
            <w:tcW w:w="2551"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正在制定计划，预计12月底完成。</w:t>
            </w:r>
          </w:p>
        </w:tc>
        <w:tc>
          <w:tcPr>
            <w:tcW w:w="793" w:type="dxa"/>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3%</w:t>
            </w:r>
          </w:p>
        </w:tc>
        <w:tc>
          <w:tcPr>
            <w:tcW w:w="3436"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养护资金33万元需区财政解决。</w:t>
            </w:r>
          </w:p>
        </w:tc>
        <w:tc>
          <w:tcPr>
            <w:tcW w:w="2433"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继续加快推进项目建设。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8" w:hRule="atLeast"/>
          <w:jc w:val="center"/>
        </w:trPr>
        <w:tc>
          <w:tcPr>
            <w:tcW w:w="1232" w:type="dxa"/>
            <w:vMerge w:val="restart"/>
            <w:shd w:val="clear" w:color="auto" w:fill="FFFFFF"/>
            <w:vAlign w:val="center"/>
          </w:tcPr>
          <w:p>
            <w:pPr>
              <w:autoSpaceDN w:val="0"/>
              <w:spacing w:line="300" w:lineRule="exact"/>
              <w:textAlignment w:val="center"/>
              <w:rPr>
                <w:rFonts w:ascii="Times New Roman" w:hAnsi="Times New Roman" w:eastAsia="方正仿宋简体" w:cs="Times New Roman"/>
                <w:b/>
                <w:sz w:val="24"/>
                <w:szCs w:val="24"/>
              </w:rPr>
            </w:pPr>
            <w:r>
              <w:rPr>
                <w:rFonts w:ascii="Times New Roman" w:hAnsi="Times New Roman" w:eastAsia="方正仿宋简体" w:cs="Times New Roman"/>
                <w:b/>
                <w:sz w:val="24"/>
                <w:szCs w:val="24"/>
              </w:rPr>
              <w:t>九、完善园区道路建设</w:t>
            </w:r>
          </w:p>
        </w:tc>
        <w:tc>
          <w:tcPr>
            <w:tcW w:w="1001" w:type="dxa"/>
            <w:vMerge w:val="restart"/>
            <w:shd w:val="clear" w:color="auto" w:fill="FFFFFF"/>
            <w:vAlign w:val="center"/>
          </w:tcPr>
          <w:p>
            <w:pPr>
              <w:adjustRightInd w:val="0"/>
              <w:snapToGrid w:val="0"/>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利如晁</w:t>
            </w:r>
          </w:p>
        </w:tc>
        <w:tc>
          <w:tcPr>
            <w:tcW w:w="838" w:type="dxa"/>
            <w:shd w:val="clear" w:color="auto" w:fill="FFFFFF"/>
            <w:vAlign w:val="center"/>
          </w:tcPr>
          <w:p>
            <w:pPr>
              <w:adjustRightInd w:val="0"/>
              <w:snapToGrid w:val="0"/>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区城市管理和综合执法局</w:t>
            </w:r>
          </w:p>
        </w:tc>
        <w:tc>
          <w:tcPr>
            <w:tcW w:w="0" w:type="auto"/>
            <w:shd w:val="clear" w:color="auto" w:fill="FFFFFF"/>
            <w:vAlign w:val="center"/>
          </w:tcPr>
          <w:p>
            <w:pPr>
              <w:adjustRightInd w:val="0"/>
              <w:snapToGrid w:val="0"/>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广东阳东经开区管委会</w:t>
            </w:r>
          </w:p>
        </w:tc>
        <w:tc>
          <w:tcPr>
            <w:tcW w:w="2182" w:type="dxa"/>
            <w:shd w:val="clear" w:color="auto" w:fill="FFFFFF"/>
            <w:vAlign w:val="center"/>
          </w:tcPr>
          <w:p>
            <w:pPr>
              <w:adjustRightInd w:val="0"/>
              <w:snapToGrid w:val="0"/>
              <w:spacing w:line="300" w:lineRule="exact"/>
              <w:rPr>
                <w:rFonts w:ascii="Times New Roman" w:hAnsi="Times New Roman" w:eastAsia="方正仿宋简体" w:cs="Times New Roman"/>
                <w:sz w:val="24"/>
                <w:szCs w:val="24"/>
              </w:rPr>
            </w:pPr>
            <w:r>
              <w:rPr>
                <w:rFonts w:ascii="Times New Roman" w:hAnsi="Times New Roman" w:eastAsia="方正仿宋简体" w:cs="Times New Roman"/>
                <w:sz w:val="24"/>
                <w:szCs w:val="24"/>
              </w:rPr>
              <w:t>22.优化工业园区路网建设，对裕东一路、永兴五路、永兴一路、裕东四路进行改造，年内完成总工程量的85%。</w:t>
            </w:r>
          </w:p>
        </w:tc>
        <w:tc>
          <w:tcPr>
            <w:tcW w:w="2551"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已完成裕东一路、永兴五路、永兴一路、裕东四路改造并开放通车。</w:t>
            </w:r>
          </w:p>
        </w:tc>
        <w:tc>
          <w:tcPr>
            <w:tcW w:w="793" w:type="dxa"/>
            <w:shd w:val="clear" w:color="auto" w:fill="FFFFFF"/>
            <w:vAlign w:val="center"/>
          </w:tcPr>
          <w:p>
            <w:pPr>
              <w:widowControl/>
              <w:spacing w:line="300" w:lineRule="exact"/>
              <w:jc w:val="left"/>
              <w:rPr>
                <w:rFonts w:ascii="Times New Roman" w:hAnsi="Times New Roman" w:eastAsia="方正仿宋简体" w:cs="Times New Roman"/>
                <w:sz w:val="24"/>
                <w:szCs w:val="24"/>
              </w:rPr>
            </w:pPr>
            <w:r>
              <w:rPr>
                <w:rFonts w:ascii="Times New Roman" w:hAnsi="Times New Roman" w:eastAsia="方正仿宋简体" w:cs="Times New Roman"/>
                <w:sz w:val="24"/>
                <w:szCs w:val="24"/>
              </w:rPr>
              <w:t>100%</w:t>
            </w:r>
          </w:p>
        </w:tc>
        <w:tc>
          <w:tcPr>
            <w:tcW w:w="3436" w:type="dxa"/>
            <w:shd w:val="clear" w:color="auto" w:fill="FFFFFF"/>
            <w:vAlign w:val="center"/>
          </w:tcPr>
          <w:p>
            <w:pPr>
              <w:widowControl/>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无</w:t>
            </w:r>
          </w:p>
        </w:tc>
        <w:tc>
          <w:tcPr>
            <w:tcW w:w="2433" w:type="dxa"/>
            <w:shd w:val="clear" w:color="auto" w:fill="FFFFFF"/>
            <w:vAlign w:val="center"/>
          </w:tcPr>
          <w:p>
            <w:pPr>
              <w:widowControl/>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jc w:val="center"/>
        </w:trPr>
        <w:tc>
          <w:tcPr>
            <w:tcW w:w="1232" w:type="dxa"/>
            <w:vMerge w:val="continue"/>
            <w:shd w:val="clear" w:color="auto" w:fill="FFFFFF"/>
            <w:vAlign w:val="center"/>
          </w:tcPr>
          <w:p>
            <w:pPr>
              <w:autoSpaceDN w:val="0"/>
              <w:spacing w:line="300" w:lineRule="exact"/>
              <w:textAlignment w:val="center"/>
              <w:rPr>
                <w:rFonts w:ascii="Times New Roman" w:hAnsi="Times New Roman" w:eastAsia="方正仿宋简体" w:cs="Times New Roman"/>
                <w:b/>
                <w:sz w:val="24"/>
                <w:szCs w:val="24"/>
              </w:rPr>
            </w:pPr>
          </w:p>
        </w:tc>
        <w:tc>
          <w:tcPr>
            <w:tcW w:w="1001" w:type="dxa"/>
            <w:vMerge w:val="continue"/>
            <w:shd w:val="clear" w:color="auto" w:fill="FFFFFF"/>
            <w:vAlign w:val="center"/>
          </w:tcPr>
          <w:p>
            <w:pPr>
              <w:adjustRightInd w:val="0"/>
              <w:snapToGrid w:val="0"/>
              <w:spacing w:line="300" w:lineRule="exact"/>
              <w:jc w:val="center"/>
              <w:rPr>
                <w:rFonts w:ascii="Times New Roman" w:hAnsi="Times New Roman" w:eastAsia="方正仿宋简体" w:cs="Times New Roman"/>
                <w:sz w:val="24"/>
                <w:szCs w:val="24"/>
              </w:rPr>
            </w:pPr>
          </w:p>
        </w:tc>
        <w:tc>
          <w:tcPr>
            <w:tcW w:w="838" w:type="dxa"/>
            <w:shd w:val="clear" w:color="auto" w:fill="FFFFFF"/>
            <w:vAlign w:val="center"/>
          </w:tcPr>
          <w:p>
            <w:pPr>
              <w:adjustRightInd w:val="0"/>
              <w:snapToGrid w:val="0"/>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区交通运输局</w:t>
            </w:r>
          </w:p>
        </w:tc>
        <w:tc>
          <w:tcPr>
            <w:tcW w:w="0" w:type="auto"/>
            <w:shd w:val="clear" w:color="auto" w:fill="FFFFFF"/>
            <w:vAlign w:val="center"/>
          </w:tcPr>
          <w:p>
            <w:pPr>
              <w:adjustRightInd w:val="0"/>
              <w:snapToGrid w:val="0"/>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广东阳东经开区管委会</w:t>
            </w:r>
          </w:p>
        </w:tc>
        <w:tc>
          <w:tcPr>
            <w:tcW w:w="2182" w:type="dxa"/>
            <w:shd w:val="clear" w:color="auto" w:fill="FFFFFF"/>
            <w:vAlign w:val="center"/>
          </w:tcPr>
          <w:p>
            <w:pPr>
              <w:adjustRightInd w:val="0"/>
              <w:snapToGrid w:val="0"/>
              <w:spacing w:line="300" w:lineRule="exact"/>
              <w:rPr>
                <w:rFonts w:ascii="Times New Roman" w:hAnsi="Times New Roman" w:eastAsia="方正仿宋简体" w:cs="Times New Roman"/>
                <w:sz w:val="24"/>
                <w:szCs w:val="24"/>
              </w:rPr>
            </w:pPr>
            <w:r>
              <w:rPr>
                <w:rFonts w:ascii="Times New Roman" w:hAnsi="Times New Roman" w:eastAsia="方正仿宋简体" w:cs="Times New Roman"/>
                <w:sz w:val="24"/>
                <w:szCs w:val="24"/>
              </w:rPr>
              <w:t>23.建设赤城一路。</w:t>
            </w:r>
          </w:p>
        </w:tc>
        <w:tc>
          <w:tcPr>
            <w:tcW w:w="2551"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已动工，预计10月底完成。</w:t>
            </w:r>
          </w:p>
        </w:tc>
        <w:tc>
          <w:tcPr>
            <w:tcW w:w="793" w:type="dxa"/>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10%</w:t>
            </w:r>
          </w:p>
        </w:tc>
        <w:tc>
          <w:tcPr>
            <w:tcW w:w="3436"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需区财政解决建设资金。</w:t>
            </w:r>
          </w:p>
        </w:tc>
        <w:tc>
          <w:tcPr>
            <w:tcW w:w="2433" w:type="dxa"/>
            <w:shd w:val="clear" w:color="auto" w:fill="FFFFFF"/>
            <w:vAlign w:val="center"/>
          </w:tcPr>
          <w:p>
            <w:pPr>
              <w:autoSpaceDN w:val="0"/>
              <w:spacing w:line="300" w:lineRule="exact"/>
              <w:jc w:val="lef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继续加快推进项目建设。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6" w:hRule="atLeast"/>
          <w:jc w:val="center"/>
        </w:trPr>
        <w:tc>
          <w:tcPr>
            <w:tcW w:w="1232" w:type="dxa"/>
            <w:vMerge w:val="restart"/>
            <w:shd w:val="clear" w:color="auto" w:fill="FFFFFF"/>
            <w:vAlign w:val="center"/>
          </w:tcPr>
          <w:p>
            <w:pPr>
              <w:autoSpaceDN w:val="0"/>
              <w:spacing w:line="300" w:lineRule="exact"/>
              <w:textAlignment w:val="center"/>
              <w:rPr>
                <w:rFonts w:ascii="Times New Roman" w:hAnsi="Times New Roman" w:eastAsia="方正仿宋简体" w:cs="Times New Roman"/>
                <w:b/>
                <w:sz w:val="24"/>
                <w:szCs w:val="24"/>
              </w:rPr>
            </w:pPr>
            <w:r>
              <w:rPr>
                <w:rFonts w:ascii="Times New Roman" w:hAnsi="Times New Roman" w:eastAsia="方正仿宋简体" w:cs="Times New Roman"/>
                <w:b/>
                <w:sz w:val="24"/>
                <w:szCs w:val="24"/>
              </w:rPr>
              <w:t>十、完善供电设施建设</w:t>
            </w:r>
          </w:p>
        </w:tc>
        <w:tc>
          <w:tcPr>
            <w:tcW w:w="1001" w:type="dxa"/>
            <w:vMerge w:val="restart"/>
            <w:shd w:val="clear" w:color="auto" w:fill="FFFFFF"/>
            <w:vAlign w:val="center"/>
          </w:tcPr>
          <w:p>
            <w:pPr>
              <w:adjustRightInd w:val="0"/>
              <w:snapToGrid w:val="0"/>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陈基雄</w:t>
            </w:r>
          </w:p>
        </w:tc>
        <w:tc>
          <w:tcPr>
            <w:tcW w:w="838" w:type="dxa"/>
            <w:vMerge w:val="restart"/>
            <w:shd w:val="clear" w:color="auto" w:fill="FFFFFF"/>
            <w:vAlign w:val="center"/>
          </w:tcPr>
          <w:p>
            <w:pPr>
              <w:adjustRightInd w:val="0"/>
              <w:snapToGrid w:val="0"/>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阳东供电局</w:t>
            </w:r>
          </w:p>
        </w:tc>
        <w:tc>
          <w:tcPr>
            <w:tcW w:w="0" w:type="auto"/>
            <w:shd w:val="clear" w:color="auto" w:fill="FFFFFF"/>
            <w:vAlign w:val="center"/>
          </w:tcPr>
          <w:p>
            <w:pPr>
              <w:adjustRightInd w:val="0"/>
              <w:snapToGrid w:val="0"/>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广东阳东经开区管委会</w:t>
            </w:r>
          </w:p>
        </w:tc>
        <w:tc>
          <w:tcPr>
            <w:tcW w:w="2182" w:type="dxa"/>
            <w:shd w:val="clear" w:color="auto" w:fill="FFFFFF"/>
            <w:vAlign w:val="center"/>
          </w:tcPr>
          <w:p>
            <w:pPr>
              <w:adjustRightInd w:val="0"/>
              <w:snapToGrid w:val="0"/>
              <w:spacing w:line="300" w:lineRule="exact"/>
              <w:rPr>
                <w:rFonts w:ascii="Times New Roman" w:hAnsi="Times New Roman" w:eastAsia="方正仿宋简体" w:cs="Times New Roman"/>
                <w:sz w:val="24"/>
                <w:szCs w:val="24"/>
              </w:rPr>
            </w:pPr>
            <w:r>
              <w:rPr>
                <w:rFonts w:ascii="Times New Roman" w:hAnsi="Times New Roman" w:eastAsia="方正仿宋简体" w:cs="Times New Roman"/>
                <w:sz w:val="24"/>
                <w:szCs w:val="24"/>
              </w:rPr>
              <w:t>24.完成110千伏万象园区变电站项目建设。</w:t>
            </w:r>
          </w:p>
        </w:tc>
        <w:tc>
          <w:tcPr>
            <w:tcW w:w="2551" w:type="dxa"/>
            <w:shd w:val="clear" w:color="auto" w:fill="FFFFFF"/>
            <w:vAlign w:val="center"/>
          </w:tcPr>
          <w:p>
            <w:pPr>
              <w:spacing w:line="300" w:lineRule="exact"/>
              <w:rPr>
                <w:rFonts w:ascii="Times New Roman" w:hAnsi="Times New Roman" w:eastAsia="方正仿宋简体" w:cs="Times New Roman"/>
                <w:sz w:val="24"/>
                <w:szCs w:val="24"/>
              </w:rPr>
            </w:pPr>
            <w:r>
              <w:rPr>
                <w:rFonts w:ascii="Times New Roman" w:hAnsi="Times New Roman" w:eastAsia="方正仿宋简体" w:cs="Times New Roman"/>
                <w:bCs/>
                <w:sz w:val="24"/>
                <w:szCs w:val="24"/>
              </w:rPr>
              <w:t>110千伏万象输变电工程，线路部分已全面开工，目前已完成青赔交地39基，占全部塔基65基的60%，施工基础完成24基。计划4月中下旬开始立塔架线施工；变电站部分，目前已完成三通一平，变电站工规证已办理完毕，施工许可证还在办理中。</w:t>
            </w:r>
          </w:p>
        </w:tc>
        <w:tc>
          <w:tcPr>
            <w:tcW w:w="793" w:type="dxa"/>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30%</w:t>
            </w:r>
          </w:p>
        </w:tc>
        <w:tc>
          <w:tcPr>
            <w:tcW w:w="3436" w:type="dxa"/>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无</w:t>
            </w:r>
          </w:p>
        </w:tc>
        <w:tc>
          <w:tcPr>
            <w:tcW w:w="2433" w:type="dxa"/>
            <w:shd w:val="clear" w:color="auto" w:fill="FFFFFF"/>
            <w:vAlign w:val="center"/>
          </w:tcPr>
          <w:p>
            <w:pPr>
              <w:autoSpaceDN w:val="0"/>
              <w:spacing w:line="300" w:lineRule="exac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（1）继续开展塔基青赔工作，4月开始立塔架线。</w:t>
            </w:r>
          </w:p>
          <w:p>
            <w:pPr>
              <w:autoSpaceDN w:val="0"/>
              <w:spacing w:line="300" w:lineRule="exac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（2）办理施工许可证，4月底开展土建施工。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5" w:hRule="atLeast"/>
          <w:jc w:val="center"/>
        </w:trPr>
        <w:tc>
          <w:tcPr>
            <w:tcW w:w="1232" w:type="dxa"/>
            <w:vMerge w:val="continue"/>
            <w:shd w:val="clear" w:color="auto" w:fill="FFFFFF"/>
            <w:vAlign w:val="center"/>
          </w:tcPr>
          <w:p>
            <w:pPr>
              <w:autoSpaceDN w:val="0"/>
              <w:spacing w:line="300" w:lineRule="exact"/>
              <w:textAlignment w:val="center"/>
              <w:rPr>
                <w:rFonts w:ascii="Times New Roman" w:hAnsi="Times New Roman" w:eastAsia="方正仿宋简体" w:cs="Times New Roman"/>
                <w:b/>
                <w:sz w:val="24"/>
                <w:szCs w:val="24"/>
              </w:rPr>
            </w:pPr>
          </w:p>
        </w:tc>
        <w:tc>
          <w:tcPr>
            <w:tcW w:w="1001" w:type="dxa"/>
            <w:vMerge w:val="continue"/>
            <w:shd w:val="clear" w:color="auto" w:fill="FFFFFF"/>
            <w:vAlign w:val="center"/>
          </w:tcPr>
          <w:p>
            <w:pPr>
              <w:adjustRightInd w:val="0"/>
              <w:snapToGrid w:val="0"/>
              <w:spacing w:line="300" w:lineRule="exact"/>
              <w:jc w:val="center"/>
              <w:rPr>
                <w:rFonts w:ascii="Times New Roman" w:hAnsi="Times New Roman" w:eastAsia="方正仿宋简体" w:cs="Times New Roman"/>
                <w:sz w:val="24"/>
                <w:szCs w:val="24"/>
              </w:rPr>
            </w:pPr>
          </w:p>
        </w:tc>
        <w:tc>
          <w:tcPr>
            <w:tcW w:w="838" w:type="dxa"/>
            <w:vMerge w:val="continue"/>
            <w:shd w:val="clear" w:color="auto" w:fill="FFFFFF"/>
            <w:vAlign w:val="center"/>
          </w:tcPr>
          <w:p>
            <w:pPr>
              <w:adjustRightInd w:val="0"/>
              <w:snapToGrid w:val="0"/>
              <w:spacing w:line="300" w:lineRule="exact"/>
              <w:jc w:val="center"/>
              <w:rPr>
                <w:rFonts w:ascii="Times New Roman" w:hAnsi="Times New Roman" w:eastAsia="方正仿宋简体" w:cs="Times New Roman"/>
                <w:sz w:val="24"/>
                <w:szCs w:val="24"/>
              </w:rPr>
            </w:pPr>
          </w:p>
        </w:tc>
        <w:tc>
          <w:tcPr>
            <w:tcW w:w="0" w:type="auto"/>
            <w:shd w:val="clear" w:color="auto" w:fill="FFFFFF"/>
            <w:vAlign w:val="center"/>
          </w:tcPr>
          <w:p>
            <w:pPr>
              <w:adjustRightInd w:val="0"/>
              <w:snapToGrid w:val="0"/>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那龙镇政府</w:t>
            </w:r>
          </w:p>
        </w:tc>
        <w:tc>
          <w:tcPr>
            <w:tcW w:w="2182" w:type="dxa"/>
            <w:shd w:val="clear" w:color="auto" w:fill="FFFFFF"/>
            <w:vAlign w:val="center"/>
          </w:tcPr>
          <w:p>
            <w:pPr>
              <w:adjustRightInd w:val="0"/>
              <w:snapToGrid w:val="0"/>
              <w:spacing w:line="300" w:lineRule="exact"/>
              <w:rPr>
                <w:rFonts w:ascii="Times New Roman" w:hAnsi="Times New Roman" w:eastAsia="方正仿宋简体" w:cs="Times New Roman"/>
                <w:sz w:val="24"/>
                <w:szCs w:val="24"/>
              </w:rPr>
            </w:pPr>
            <w:r>
              <w:rPr>
                <w:rFonts w:ascii="Times New Roman" w:hAnsi="Times New Roman" w:eastAsia="方正仿宋简体" w:cs="Times New Roman"/>
                <w:sz w:val="24"/>
                <w:szCs w:val="24"/>
              </w:rPr>
              <w:t>25.动工建设500千伏阳东（那龙）开关站项目。</w:t>
            </w:r>
          </w:p>
        </w:tc>
        <w:tc>
          <w:tcPr>
            <w:tcW w:w="2551" w:type="dxa"/>
            <w:shd w:val="clear" w:color="auto" w:fill="FFFFFF"/>
            <w:vAlign w:val="center"/>
          </w:tcPr>
          <w:p>
            <w:pPr>
              <w:spacing w:line="300" w:lineRule="exact"/>
              <w:rPr>
                <w:rFonts w:ascii="Times New Roman" w:hAnsi="Times New Roman" w:eastAsia="方正仿宋简体" w:cs="Times New Roman"/>
                <w:sz w:val="24"/>
                <w:szCs w:val="24"/>
              </w:rPr>
            </w:pPr>
            <w:r>
              <w:rPr>
                <w:rFonts w:ascii="Times New Roman" w:hAnsi="Times New Roman" w:eastAsia="方正仿宋简体" w:cs="Times New Roman"/>
                <w:bCs/>
                <w:sz w:val="24"/>
                <w:szCs w:val="24"/>
              </w:rPr>
              <w:t>500千伏阳东开关站项目，正在进行用地报批。项目施工招标已完成，施工前期准备工作正在开展中。</w:t>
            </w:r>
          </w:p>
        </w:tc>
        <w:tc>
          <w:tcPr>
            <w:tcW w:w="793" w:type="dxa"/>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25%</w:t>
            </w:r>
          </w:p>
        </w:tc>
        <w:tc>
          <w:tcPr>
            <w:tcW w:w="3436" w:type="dxa"/>
            <w:shd w:val="clear" w:color="auto" w:fill="FFFFFF"/>
            <w:vAlign w:val="center"/>
          </w:tcPr>
          <w:p>
            <w:pPr>
              <w:autoSpaceDN w:val="0"/>
              <w:spacing w:line="300" w:lineRule="exact"/>
              <w:jc w:val="center"/>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无</w:t>
            </w:r>
          </w:p>
        </w:tc>
        <w:tc>
          <w:tcPr>
            <w:tcW w:w="2433" w:type="dxa"/>
            <w:shd w:val="clear" w:color="auto" w:fill="FFFFFF"/>
            <w:vAlign w:val="center"/>
          </w:tcPr>
          <w:p>
            <w:pPr>
              <w:autoSpaceDN w:val="0"/>
              <w:spacing w:line="300" w:lineRule="exact"/>
              <w:textAlignment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继续完善用地报批手续。</w:t>
            </w:r>
          </w:p>
        </w:tc>
      </w:tr>
    </w:tbl>
    <w:p/>
    <w:sectPr>
      <w:pgSz w:w="16838" w:h="11906" w:orient="landscape"/>
      <w:pgMar w:top="1417" w:right="1440" w:bottom="1417"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803050406030204"/>
    <w:charset w:val="00"/>
    <w:family w:val="roman"/>
    <w:pitch w:val="default"/>
    <w:sig w:usb0="E00002FF" w:usb1="4000045F" w:usb2="00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EFA282"/>
    <w:rsid w:val="7BEFA282"/>
    <w:rsid w:val="DFFE71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2024-04-24T00:19:00Z</dcterms:created>
  <dc:creator>kylin</dc:creator>
  <cp:lastModifiedBy>kylin</cp:lastModifiedBy>
  <dcterms:modified xsi:type="dcterms:W3CDTF">2025-08-25T10:05:05Z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